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C9" w:rsidRDefault="0015725D" w:rsidP="006031AA">
      <w:pPr>
        <w:pStyle w:val="Heading1"/>
        <w:spacing w:before="80"/>
        <w:ind w:left="467"/>
      </w:pPr>
      <w:r>
        <w:t>IMPLEMENTASI PERTANGGUNGJAWABAN PELAKU TINDAK PIDANA MENGANGKUT, MENGUASAI, ATAU MEMILIKI HASIL HUTAN KAYU YANG TIDAK DILENGKAPI SECARA BERSAMA SURAT KETERANGANSAHNYA HASIL HUTAN</w:t>
      </w:r>
    </w:p>
    <w:p w:rsidR="00F40AC9" w:rsidRDefault="0015725D">
      <w:pPr>
        <w:ind w:left="463" w:right="424"/>
        <w:jc w:val="center"/>
        <w:rPr>
          <w:b/>
          <w:sz w:val="28"/>
        </w:rPr>
      </w:pPr>
      <w:r>
        <w:rPr>
          <w:b/>
          <w:sz w:val="28"/>
        </w:rPr>
        <w:t>(Studi Putusan Nomor: 259/Pid.Sus/LH/2019/PN Kot)</w:t>
      </w:r>
    </w:p>
    <w:p w:rsidR="00F40AC9" w:rsidRDefault="0015725D">
      <w:pPr>
        <w:spacing w:before="281"/>
        <w:ind w:left="466" w:right="424"/>
        <w:jc w:val="center"/>
        <w:rPr>
          <w:b/>
          <w:sz w:val="24"/>
        </w:rPr>
      </w:pPr>
      <w:r>
        <w:rPr>
          <w:b/>
        </w:rPr>
        <w:t xml:space="preserve">Candra Agung Laksana </w:t>
      </w:r>
      <w:r>
        <w:rPr>
          <w:b/>
          <w:position w:val="6"/>
          <w:sz w:val="16"/>
        </w:rPr>
        <w:t>1</w:t>
      </w:r>
      <w:r>
        <w:rPr>
          <w:b/>
          <w:sz w:val="24"/>
        </w:rPr>
        <w:t>, Bambang Hartono</w:t>
      </w:r>
      <w:r>
        <w:rPr>
          <w:b/>
          <w:position w:val="6"/>
          <w:sz w:val="16"/>
        </w:rPr>
        <w:t>2</w:t>
      </w:r>
      <w:r>
        <w:rPr>
          <w:b/>
          <w:sz w:val="24"/>
        </w:rPr>
        <w:t>, Zainudin Hasan</w:t>
      </w:r>
      <w:r>
        <w:rPr>
          <w:b/>
          <w:position w:val="6"/>
          <w:sz w:val="16"/>
        </w:rPr>
        <w:t>3</w:t>
      </w:r>
      <w:r>
        <w:rPr>
          <w:b/>
          <w:sz w:val="24"/>
        </w:rPr>
        <w:t>.</w:t>
      </w:r>
    </w:p>
    <w:p w:rsidR="002216FC" w:rsidRPr="00CD78B8" w:rsidRDefault="0015725D" w:rsidP="00665402">
      <w:pPr>
        <w:pStyle w:val="ListParagraph"/>
        <w:numPr>
          <w:ilvl w:val="0"/>
          <w:numId w:val="6"/>
        </w:numPr>
        <w:spacing w:before="143"/>
        <w:ind w:left="426" w:hanging="284"/>
        <w:rPr>
          <w:i/>
          <w:sz w:val="20"/>
        </w:rPr>
      </w:pPr>
      <w:r w:rsidRPr="00CD78B8">
        <w:rPr>
          <w:i/>
          <w:sz w:val="20"/>
        </w:rPr>
        <w:t>Fakultas Hukum Universitas Bandar Lampung. E-mail</w:t>
      </w:r>
      <w:r w:rsidR="007D560A" w:rsidRPr="00CD78B8">
        <w:rPr>
          <w:i/>
          <w:sz w:val="20"/>
        </w:rPr>
        <w:t xml:space="preserve"> </w:t>
      </w:r>
      <w:r w:rsidRPr="00CD78B8">
        <w:rPr>
          <w:i/>
          <w:sz w:val="20"/>
        </w:rPr>
        <w:t xml:space="preserve">: </w:t>
      </w:r>
      <w:r w:rsidR="00D739DE" w:rsidRPr="00BF5ABF">
        <w:rPr>
          <w:i/>
          <w:sz w:val="20"/>
        </w:rPr>
        <w:t>candr</w:t>
      </w:r>
      <w:r w:rsidR="00BF5ABF">
        <w:rPr>
          <w:i/>
          <w:sz w:val="20"/>
        </w:rPr>
        <w:t>a.14211111@student.ubl.ac.id</w:t>
      </w:r>
    </w:p>
    <w:p w:rsidR="002216FC" w:rsidRPr="00CD78B8" w:rsidRDefault="0015725D" w:rsidP="00665402">
      <w:pPr>
        <w:pStyle w:val="ListParagraph"/>
        <w:numPr>
          <w:ilvl w:val="0"/>
          <w:numId w:val="6"/>
        </w:numPr>
        <w:ind w:left="426" w:hanging="284"/>
        <w:rPr>
          <w:i/>
          <w:sz w:val="20"/>
        </w:rPr>
      </w:pPr>
      <w:r w:rsidRPr="00CD78B8">
        <w:rPr>
          <w:i/>
          <w:sz w:val="20"/>
        </w:rPr>
        <w:t>Dosen Fakultas Hukum Universitas Bandar</w:t>
      </w:r>
      <w:r w:rsidRPr="00CD78B8">
        <w:rPr>
          <w:i/>
          <w:spacing w:val="-9"/>
          <w:sz w:val="20"/>
        </w:rPr>
        <w:t xml:space="preserve"> </w:t>
      </w:r>
      <w:r w:rsidRPr="00CD78B8">
        <w:rPr>
          <w:i/>
          <w:sz w:val="20"/>
        </w:rPr>
        <w:t>Lampung</w:t>
      </w:r>
    </w:p>
    <w:p w:rsidR="00F40AC9" w:rsidRPr="00CD78B8" w:rsidRDefault="0015725D" w:rsidP="00665402">
      <w:pPr>
        <w:pStyle w:val="ListParagraph"/>
        <w:numPr>
          <w:ilvl w:val="0"/>
          <w:numId w:val="6"/>
        </w:numPr>
        <w:ind w:left="426" w:hanging="284"/>
        <w:rPr>
          <w:i/>
          <w:sz w:val="20"/>
        </w:rPr>
      </w:pPr>
      <w:r w:rsidRPr="00CD78B8">
        <w:rPr>
          <w:i/>
          <w:sz w:val="20"/>
        </w:rPr>
        <w:t>Dosen Fakultas Hukum Universitas Bandar</w:t>
      </w:r>
      <w:r w:rsidRPr="00CD78B8">
        <w:rPr>
          <w:i/>
          <w:spacing w:val="-10"/>
          <w:sz w:val="20"/>
        </w:rPr>
        <w:t xml:space="preserve"> </w:t>
      </w:r>
      <w:r w:rsidRPr="00CD78B8">
        <w:rPr>
          <w:i/>
          <w:sz w:val="20"/>
        </w:rPr>
        <w:t>Lampung</w:t>
      </w:r>
    </w:p>
    <w:p w:rsidR="00F40AC9" w:rsidRDefault="00F40AC9">
      <w:pPr>
        <w:pStyle w:val="BodyText"/>
        <w:jc w:val="left"/>
        <w:rPr>
          <w:i/>
          <w:sz w:val="20"/>
        </w:rPr>
      </w:pPr>
    </w:p>
    <w:tbl>
      <w:tblPr>
        <w:tblW w:w="0" w:type="auto"/>
        <w:tblInd w:w="117" w:type="dxa"/>
        <w:tblLayout w:type="fixed"/>
        <w:tblCellMar>
          <w:left w:w="0" w:type="dxa"/>
          <w:right w:w="0" w:type="dxa"/>
        </w:tblCellMar>
        <w:tblLook w:val="01E0"/>
      </w:tblPr>
      <w:tblGrid>
        <w:gridCol w:w="2093"/>
        <w:gridCol w:w="276"/>
        <w:gridCol w:w="6954"/>
      </w:tblGrid>
      <w:tr w:rsidR="00F40AC9">
        <w:trPr>
          <w:trHeight w:val="395"/>
        </w:trPr>
        <w:tc>
          <w:tcPr>
            <w:tcW w:w="2093" w:type="dxa"/>
            <w:tcBorders>
              <w:top w:val="single" w:sz="4" w:space="0" w:color="000000"/>
              <w:bottom w:val="single" w:sz="4" w:space="0" w:color="000000"/>
            </w:tcBorders>
          </w:tcPr>
          <w:p w:rsidR="00F40AC9" w:rsidRDefault="0015725D">
            <w:pPr>
              <w:pStyle w:val="TableParagraph"/>
              <w:spacing w:before="81"/>
              <w:ind w:left="108"/>
              <w:rPr>
                <w:b/>
                <w:sz w:val="20"/>
              </w:rPr>
            </w:pPr>
            <w:r>
              <w:rPr>
                <w:b/>
                <w:sz w:val="20"/>
              </w:rPr>
              <w:t>ARTICLE INFO</w:t>
            </w:r>
          </w:p>
        </w:tc>
        <w:tc>
          <w:tcPr>
            <w:tcW w:w="276" w:type="dxa"/>
          </w:tcPr>
          <w:p w:rsidR="00F40AC9" w:rsidRDefault="00F40AC9">
            <w:pPr>
              <w:pStyle w:val="TableParagraph"/>
              <w:rPr>
                <w:rFonts w:ascii="Times New Roman"/>
                <w:sz w:val="20"/>
              </w:rPr>
            </w:pPr>
          </w:p>
        </w:tc>
        <w:tc>
          <w:tcPr>
            <w:tcW w:w="6954" w:type="dxa"/>
            <w:tcBorders>
              <w:top w:val="single" w:sz="4" w:space="0" w:color="000000"/>
              <w:bottom w:val="single" w:sz="4" w:space="0" w:color="000000"/>
            </w:tcBorders>
          </w:tcPr>
          <w:p w:rsidR="00F40AC9" w:rsidRDefault="0015725D">
            <w:pPr>
              <w:pStyle w:val="TableParagraph"/>
              <w:spacing w:before="81"/>
              <w:ind w:left="115"/>
              <w:rPr>
                <w:b/>
                <w:sz w:val="20"/>
              </w:rPr>
            </w:pPr>
            <w:r>
              <w:rPr>
                <w:b/>
                <w:sz w:val="20"/>
              </w:rPr>
              <w:t>ABSTRACT</w:t>
            </w:r>
          </w:p>
        </w:tc>
      </w:tr>
      <w:tr w:rsidR="00F40AC9">
        <w:trPr>
          <w:trHeight w:val="4456"/>
        </w:trPr>
        <w:tc>
          <w:tcPr>
            <w:tcW w:w="2093" w:type="dxa"/>
            <w:tcBorders>
              <w:top w:val="single" w:sz="4" w:space="0" w:color="000000"/>
            </w:tcBorders>
          </w:tcPr>
          <w:p w:rsidR="00F40AC9" w:rsidRDefault="0015725D">
            <w:pPr>
              <w:pStyle w:val="TableParagraph"/>
              <w:spacing w:before="5" w:line="244" w:lineRule="auto"/>
              <w:ind w:left="108" w:right="821"/>
              <w:rPr>
                <w:rFonts w:ascii="Times New Roman"/>
                <w:b/>
                <w:i/>
                <w:sz w:val="20"/>
              </w:rPr>
            </w:pPr>
            <w:r>
              <w:rPr>
                <w:rFonts w:ascii="Times New Roman"/>
                <w:b/>
                <w:i/>
                <w:w w:val="110"/>
                <w:sz w:val="20"/>
              </w:rPr>
              <w:t xml:space="preserve">Keywords: </w:t>
            </w:r>
            <w:r>
              <w:rPr>
                <w:rFonts w:ascii="Times New Roman"/>
                <w:b/>
                <w:i/>
                <w:w w:val="105"/>
                <w:sz w:val="20"/>
              </w:rPr>
              <w:t xml:space="preserve">Criminal act, </w:t>
            </w:r>
            <w:r>
              <w:rPr>
                <w:rFonts w:ascii="Times New Roman"/>
                <w:b/>
                <w:i/>
                <w:w w:val="110"/>
                <w:sz w:val="20"/>
              </w:rPr>
              <w:t>Forest wood products, Certificate</w:t>
            </w: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spacing w:before="8"/>
              <w:rPr>
                <w:i/>
                <w:sz w:val="17"/>
              </w:rPr>
            </w:pPr>
          </w:p>
          <w:p w:rsidR="00F40AC9" w:rsidRDefault="0015725D">
            <w:pPr>
              <w:pStyle w:val="TableParagraph"/>
              <w:tabs>
                <w:tab w:val="left" w:pos="2132"/>
              </w:tabs>
              <w:spacing w:line="215" w:lineRule="exact"/>
              <w:ind w:right="-44"/>
              <w:rPr>
                <w:i/>
                <w:sz w:val="20"/>
              </w:rPr>
            </w:pPr>
            <w:r>
              <w:rPr>
                <w:i/>
                <w:w w:val="99"/>
                <w:sz w:val="20"/>
                <w:u w:val="single"/>
              </w:rPr>
              <w:t xml:space="preserve"> </w:t>
            </w:r>
            <w:r>
              <w:rPr>
                <w:i/>
                <w:sz w:val="20"/>
                <w:u w:val="single"/>
              </w:rPr>
              <w:tab/>
            </w:r>
          </w:p>
        </w:tc>
        <w:tc>
          <w:tcPr>
            <w:tcW w:w="276" w:type="dxa"/>
          </w:tcPr>
          <w:p w:rsidR="00F40AC9" w:rsidRDefault="00F40AC9">
            <w:pPr>
              <w:pStyle w:val="TableParagraph"/>
              <w:rPr>
                <w:rFonts w:ascii="Times New Roman"/>
                <w:sz w:val="20"/>
              </w:rPr>
            </w:pPr>
          </w:p>
        </w:tc>
        <w:tc>
          <w:tcPr>
            <w:tcW w:w="6954" w:type="dxa"/>
            <w:tcBorders>
              <w:top w:val="single" w:sz="4" w:space="0" w:color="000000"/>
              <w:bottom w:val="single" w:sz="4" w:space="0" w:color="000000"/>
            </w:tcBorders>
          </w:tcPr>
          <w:p w:rsidR="00F40AC9" w:rsidRDefault="0015725D">
            <w:pPr>
              <w:pStyle w:val="TableParagraph"/>
              <w:spacing w:before="2"/>
              <w:ind w:left="115" w:right="107"/>
              <w:jc w:val="both"/>
              <w:rPr>
                <w:i/>
                <w:sz w:val="20"/>
              </w:rPr>
            </w:pPr>
            <w:r>
              <w:rPr>
                <w:i/>
                <w:sz w:val="20"/>
              </w:rPr>
              <w:t>Criminal acts that occur in society are criminal acts against property (material crimes), such as theft, extortion, embezzlement, fraud, vandalism and detention. The recent criminal act is the criminal act of transporting, controlling, or possessing timber forest products that are not accompanied by a certificate of legality of forest products. The research method used normative and empirical juridical approaches. The type of data used is secondary data and primary data. Collecting data through library research and field research. The data analysis used was qualitative juridical. The factors causing the perpetrator to commit the criminal act of transporting, controlling, or possessing timber forest products that are not accompanied by a certificate of legal forest products based on Decision Number: 259 / Pid.Sus / LH / 2019 / PN Kot are economic and educational factors, the difficulty in obtaining a permit and lack of supervision. The implementation of accountability for the perpetrator of a criminal act of transporting, controlling, or owning timber forest products which is not accompanied by a certificate of legal forest products based on Decision Number: 259 / Pid.Sus / LH / 2019 / PN Kot is punishable by imprisonment for 1 (one) 1 (one) month and a fine of Rp. 500,000,000.00 (five hundred million rupiah) provided that if the fine is not paid then it is replaced by imprisonment of 1 (one)</w:t>
            </w:r>
          </w:p>
          <w:p w:rsidR="00F40AC9" w:rsidRDefault="0015725D">
            <w:pPr>
              <w:pStyle w:val="TableParagraph"/>
              <w:spacing w:line="215" w:lineRule="exact"/>
              <w:ind w:left="115"/>
              <w:rPr>
                <w:i/>
                <w:sz w:val="20"/>
              </w:rPr>
            </w:pPr>
            <w:r>
              <w:rPr>
                <w:i/>
                <w:sz w:val="20"/>
              </w:rPr>
              <w:t>month.</w:t>
            </w:r>
          </w:p>
        </w:tc>
      </w:tr>
      <w:tr w:rsidR="00F40AC9">
        <w:trPr>
          <w:trHeight w:val="395"/>
        </w:trPr>
        <w:tc>
          <w:tcPr>
            <w:tcW w:w="2093" w:type="dxa"/>
            <w:tcBorders>
              <w:bottom w:val="single" w:sz="4" w:space="0" w:color="000000"/>
            </w:tcBorders>
          </w:tcPr>
          <w:p w:rsidR="00F40AC9" w:rsidRDefault="0015725D">
            <w:pPr>
              <w:pStyle w:val="TableParagraph"/>
              <w:spacing w:before="81"/>
              <w:ind w:left="108"/>
              <w:rPr>
                <w:b/>
                <w:sz w:val="20"/>
              </w:rPr>
            </w:pPr>
            <w:r>
              <w:rPr>
                <w:b/>
                <w:sz w:val="20"/>
              </w:rPr>
              <w:t>INFO ARTIKEL</w:t>
            </w:r>
          </w:p>
        </w:tc>
        <w:tc>
          <w:tcPr>
            <w:tcW w:w="276" w:type="dxa"/>
          </w:tcPr>
          <w:p w:rsidR="00F40AC9" w:rsidRDefault="00F40AC9">
            <w:pPr>
              <w:pStyle w:val="TableParagraph"/>
              <w:rPr>
                <w:rFonts w:ascii="Times New Roman"/>
                <w:sz w:val="20"/>
              </w:rPr>
            </w:pPr>
          </w:p>
        </w:tc>
        <w:tc>
          <w:tcPr>
            <w:tcW w:w="6954" w:type="dxa"/>
            <w:tcBorders>
              <w:top w:val="single" w:sz="4" w:space="0" w:color="000000"/>
              <w:bottom w:val="single" w:sz="4" w:space="0" w:color="000000"/>
            </w:tcBorders>
          </w:tcPr>
          <w:p w:rsidR="00F40AC9" w:rsidRDefault="0015725D">
            <w:pPr>
              <w:pStyle w:val="TableParagraph"/>
              <w:spacing w:before="81"/>
              <w:ind w:left="115"/>
              <w:rPr>
                <w:b/>
                <w:sz w:val="20"/>
              </w:rPr>
            </w:pPr>
            <w:r>
              <w:rPr>
                <w:b/>
                <w:sz w:val="20"/>
              </w:rPr>
              <w:t>ABSTRAK</w:t>
            </w:r>
          </w:p>
        </w:tc>
      </w:tr>
      <w:tr w:rsidR="00F40AC9" w:rsidTr="000874D1">
        <w:trPr>
          <w:trHeight w:val="4727"/>
        </w:trPr>
        <w:tc>
          <w:tcPr>
            <w:tcW w:w="2093" w:type="dxa"/>
            <w:tcBorders>
              <w:top w:val="single" w:sz="4" w:space="0" w:color="000000"/>
            </w:tcBorders>
          </w:tcPr>
          <w:p w:rsidR="00F40AC9" w:rsidRDefault="0015725D">
            <w:pPr>
              <w:pStyle w:val="TableParagraph"/>
              <w:spacing w:before="5" w:line="244" w:lineRule="auto"/>
              <w:ind w:left="108" w:right="365"/>
              <w:rPr>
                <w:rFonts w:ascii="Times New Roman"/>
                <w:b/>
                <w:i/>
                <w:sz w:val="20"/>
              </w:rPr>
            </w:pPr>
            <w:r>
              <w:rPr>
                <w:rFonts w:ascii="Times New Roman"/>
                <w:b/>
                <w:i/>
                <w:w w:val="105"/>
                <w:sz w:val="20"/>
              </w:rPr>
              <w:t>Kata kunci: Tindak pidana, Hasil kayu hutan, Surat keterangan</w:t>
            </w: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rPr>
                <w:i/>
              </w:rPr>
            </w:pPr>
          </w:p>
          <w:p w:rsidR="00F40AC9" w:rsidRDefault="00F40AC9">
            <w:pPr>
              <w:pStyle w:val="TableParagraph"/>
              <w:spacing w:before="5"/>
              <w:rPr>
                <w:i/>
                <w:sz w:val="29"/>
              </w:rPr>
            </w:pPr>
          </w:p>
          <w:p w:rsidR="00F40AC9" w:rsidRDefault="0015725D">
            <w:pPr>
              <w:pStyle w:val="TableParagraph"/>
              <w:tabs>
                <w:tab w:val="left" w:pos="2137"/>
              </w:tabs>
              <w:spacing w:line="217" w:lineRule="exact"/>
              <w:ind w:left="-15" w:right="-58"/>
              <w:rPr>
                <w:rFonts w:ascii="Times New Roman"/>
                <w:sz w:val="20"/>
              </w:rPr>
            </w:pPr>
            <w:r>
              <w:rPr>
                <w:rFonts w:ascii="Times New Roman"/>
                <w:w w:val="99"/>
                <w:sz w:val="20"/>
                <w:u w:val="single"/>
              </w:rPr>
              <w:t xml:space="preserve"> </w:t>
            </w:r>
            <w:r>
              <w:rPr>
                <w:rFonts w:ascii="Times New Roman"/>
                <w:sz w:val="20"/>
                <w:u w:val="single"/>
              </w:rPr>
              <w:tab/>
            </w:r>
          </w:p>
        </w:tc>
        <w:tc>
          <w:tcPr>
            <w:tcW w:w="276" w:type="dxa"/>
          </w:tcPr>
          <w:p w:rsidR="00F40AC9" w:rsidRDefault="00F40AC9">
            <w:pPr>
              <w:pStyle w:val="TableParagraph"/>
              <w:rPr>
                <w:rFonts w:ascii="Times New Roman"/>
                <w:sz w:val="20"/>
              </w:rPr>
            </w:pPr>
          </w:p>
        </w:tc>
        <w:tc>
          <w:tcPr>
            <w:tcW w:w="6954" w:type="dxa"/>
            <w:tcBorders>
              <w:top w:val="single" w:sz="4" w:space="0" w:color="000000"/>
              <w:bottom w:val="single" w:sz="4" w:space="0" w:color="000000"/>
            </w:tcBorders>
          </w:tcPr>
          <w:p w:rsidR="00F40AC9" w:rsidRDefault="0015725D">
            <w:pPr>
              <w:pStyle w:val="TableParagraph"/>
              <w:spacing w:before="1"/>
              <w:ind w:left="115" w:right="106"/>
              <w:jc w:val="both"/>
              <w:rPr>
                <w:rFonts w:ascii="Times New Roman"/>
                <w:sz w:val="20"/>
              </w:rPr>
            </w:pPr>
            <w:r>
              <w:rPr>
                <w:sz w:val="20"/>
              </w:rPr>
              <w:t>Tindak pidana yang terjadi di dalam masyarakat adalah tindak pidana terhadap harta kekayaan (tindak pidana materiil), seperti pencurian, pemerasan, penggelapan, penipuan, pengrusakan, dan penadahan. Tindak pidana yang terjadi belakangan ini adalah tindak pidana mengangkut, menguasai, atau memiliki hasil hutan kayu yang tidak dilengkapi secara bersama surat keterangan sahnya hasil hutan. Metode penelitian menggunakan pendekatan yuridis normatif dan empiris. Jenis data yang digunakan adalah data sekunder dan data primer. Pengumpulan data melalui penelitian kepustakaan (</w:t>
            </w:r>
            <w:r>
              <w:rPr>
                <w:i/>
                <w:sz w:val="20"/>
              </w:rPr>
              <w:t>library research</w:t>
            </w:r>
            <w:r>
              <w:rPr>
                <w:sz w:val="20"/>
              </w:rPr>
              <w:t>) dan penelitian lapangan (</w:t>
            </w:r>
            <w:r>
              <w:rPr>
                <w:i/>
                <w:sz w:val="20"/>
              </w:rPr>
              <w:t>field research</w:t>
            </w:r>
            <w:r>
              <w:rPr>
                <w:sz w:val="20"/>
              </w:rPr>
              <w:t xml:space="preserve">). Analisis data yang digunakan adalah yuridis kualitatif. </w:t>
            </w:r>
            <w:r>
              <w:rPr>
                <w:rFonts w:ascii="Times New Roman"/>
                <w:sz w:val="20"/>
              </w:rPr>
              <w:t>Faktor penyebab pelaku melakukan tindak pidana mengangkut, menguasai, atau memiliki hasil hutan kayu yang tidak dilengkapi secara bersama surat keterangan sahnya hasil hutan berdasarkan Putusan Nomor: 259/Pid.Sus/LH/2019/PN Kot adalah faktor ekonomi dan pendidikan, sulitnya memperoleh izin dan kurangnya pengawasan. Implementasi pertanggungjawaban terhadap pelaku tindak pidana mengangkut, menguasai, atau memiliki hasil hutan kayu yang tidak dilengkapi secara bersama surat keterangan sahnya hasil hutan berdasarkan Putusan Nomor: 259/Pid.Sus/LH/2019/PN Kot adalah dengan pidana penjara selama 1 (satu) tahun 1 (satu) bulan dan pidana denda sebesar Rp500.000.000,00 (lima ratus juta rupiah) dengan ketentuan apabila denda tersebut tidak dibayar maka</w:t>
            </w:r>
            <w:r>
              <w:rPr>
                <w:rFonts w:ascii="Times New Roman"/>
                <w:spacing w:val="12"/>
                <w:sz w:val="20"/>
              </w:rPr>
              <w:t xml:space="preserve"> </w:t>
            </w:r>
            <w:r>
              <w:rPr>
                <w:rFonts w:ascii="Times New Roman"/>
                <w:sz w:val="20"/>
              </w:rPr>
              <w:t>diganti dengan pidana</w:t>
            </w:r>
          </w:p>
          <w:p w:rsidR="00F40AC9" w:rsidRDefault="0015725D">
            <w:pPr>
              <w:pStyle w:val="TableParagraph"/>
              <w:spacing w:line="212" w:lineRule="exact"/>
              <w:ind w:left="115"/>
              <w:jc w:val="both"/>
              <w:rPr>
                <w:rFonts w:ascii="Times New Roman"/>
                <w:sz w:val="20"/>
              </w:rPr>
            </w:pPr>
            <w:r>
              <w:rPr>
                <w:rFonts w:ascii="Times New Roman"/>
                <w:sz w:val="20"/>
              </w:rPr>
              <w:t>penjara selama 1 (satu) bulan.</w:t>
            </w:r>
          </w:p>
        </w:tc>
      </w:tr>
    </w:tbl>
    <w:p w:rsidR="00F40AC9" w:rsidRDefault="00F40AC9">
      <w:pPr>
        <w:spacing w:line="212" w:lineRule="exact"/>
        <w:jc w:val="both"/>
        <w:rPr>
          <w:rFonts w:ascii="Times New Roman"/>
          <w:sz w:val="20"/>
        </w:rPr>
        <w:sectPr w:rsidR="00F40AC9">
          <w:footerReference w:type="default" r:id="rId7"/>
          <w:type w:val="continuous"/>
          <w:pgSz w:w="11910" w:h="16840"/>
          <w:pgMar w:top="1460" w:right="1200" w:bottom="940" w:left="1160" w:header="720" w:footer="740" w:gutter="0"/>
          <w:pgNumType w:start="1"/>
          <w:cols w:space="720"/>
        </w:sectPr>
      </w:pPr>
    </w:p>
    <w:p w:rsidR="00F40AC9" w:rsidRDefault="0015725D">
      <w:pPr>
        <w:pStyle w:val="Heading2"/>
        <w:numPr>
          <w:ilvl w:val="0"/>
          <w:numId w:val="5"/>
        </w:numPr>
        <w:tabs>
          <w:tab w:val="left" w:pos="646"/>
        </w:tabs>
        <w:spacing w:before="82" w:line="281" w:lineRule="exact"/>
      </w:pPr>
      <w:r>
        <w:lastRenderedPageBreak/>
        <w:t>Pendahuluan</w:t>
      </w:r>
    </w:p>
    <w:p w:rsidR="00F40AC9" w:rsidRDefault="0015725D">
      <w:pPr>
        <w:pStyle w:val="BodyText"/>
        <w:ind w:left="218" w:right="171"/>
      </w:pPr>
      <w:r>
        <w:t>Pertanggungjawaban pidana merupakan salah satu bagian dari hukum pidana di</w:t>
      </w:r>
      <w:r>
        <w:rPr>
          <w:spacing w:val="52"/>
        </w:rPr>
        <w:t xml:space="preserve"> </w:t>
      </w:r>
      <w:r>
        <w:t>samping tindak pidana, pidana dan pemidanaan. Pertanggungjawaban pidana</w:t>
      </w:r>
      <w:r>
        <w:rPr>
          <w:spacing w:val="52"/>
        </w:rPr>
        <w:t xml:space="preserve"> </w:t>
      </w:r>
      <w:r>
        <w:t>merupakan hal yang penting dalam hukum pidana, karena tidak ada artinya pidana yang diancamkan kepada orang yang melakukan tindak pidana kalau orang yang melakukannya tidak diminta pertanggungjawaban pidana. Jika seseorang diduga melakukan suatu tindak pidana tetapi tidak diproses berdasarkan hukum acara pidana untuk menentukan dapat atau tidak dapatnya diminta pertanggungjawaban pidananya, maka akan dapat merendahkan wibawa hukum pidana di dalam masyarakat. Hal ini</w:t>
      </w:r>
      <w:r>
        <w:rPr>
          <w:spacing w:val="52"/>
        </w:rPr>
        <w:t xml:space="preserve"> </w:t>
      </w:r>
      <w:r>
        <w:t>akan bisa menyebabkan ada pandangan masyarakat bahwa tidak</w:t>
      </w:r>
      <w:r>
        <w:rPr>
          <w:spacing w:val="52"/>
        </w:rPr>
        <w:t xml:space="preserve"> </w:t>
      </w:r>
      <w:r>
        <w:t>perlu  takut  melakukan tindak pidana karena tidak akan diminta pertanggungjawaban</w:t>
      </w:r>
      <w:r>
        <w:rPr>
          <w:spacing w:val="-16"/>
        </w:rPr>
        <w:t xml:space="preserve"> </w:t>
      </w:r>
      <w:r>
        <w:t>pidananya.</w:t>
      </w:r>
    </w:p>
    <w:p w:rsidR="00F40AC9" w:rsidRDefault="00F40AC9">
      <w:pPr>
        <w:pStyle w:val="BodyText"/>
        <w:spacing w:before="2"/>
        <w:jc w:val="left"/>
      </w:pPr>
    </w:p>
    <w:p w:rsidR="00F40AC9" w:rsidRDefault="0015725D">
      <w:pPr>
        <w:pStyle w:val="BodyText"/>
        <w:ind w:left="218" w:right="170"/>
        <w:rPr>
          <w:sz w:val="16"/>
        </w:rPr>
      </w:pPr>
      <w:r>
        <w:t xml:space="preserve">Pertanggungjawaban pidana didasarkan pada asas kesalahan. Asas kesalahan dalam bahasa Belanda berbunyi </w:t>
      </w:r>
      <w:r>
        <w:rPr>
          <w:i/>
        </w:rPr>
        <w:t xml:space="preserve">geen straf zonder schuld </w:t>
      </w:r>
      <w:r>
        <w:t>artinya tidak ada pidana tanpa kesalahan. Dengan demikian, seseorang baru</w:t>
      </w:r>
      <w:r>
        <w:rPr>
          <w:spacing w:val="52"/>
        </w:rPr>
        <w:t xml:space="preserve"> </w:t>
      </w:r>
      <w:r>
        <w:t>dapat  dipidana  kalau  pada  orang tersebut terdapat kesalahan. Tidak adil kalau orang yang tidak mempunyai kesalahan terhadapnya dijatuhi pidana. Menurut Barda Nawawi Arief, asas kesalahan merupakan asas yang sangat fundamental dalam meminta pertanggungjawaban pidana terhadap si pembuat yang bersalah melakukan tindak pidana. Dikatakan sebagai asas fundamental karena kesalahan yang menentukan seseorang dapat dipidana atau</w:t>
      </w:r>
      <w:r>
        <w:rPr>
          <w:spacing w:val="52"/>
        </w:rPr>
        <w:t xml:space="preserve"> </w:t>
      </w:r>
      <w:r>
        <w:t>tidak.  Bila  seseorang yang sudah memenuhi semua unsur tindak pidana yang didakwakan kepadanya, maka untuk dapat dipidana orang tersebut harus terdapat kesalahan. Sebaliknya bila tidak terdapat kesalahan, maka orang tersebut tidak dapat</w:t>
      </w:r>
      <w:r>
        <w:rPr>
          <w:spacing w:val="-16"/>
        </w:rPr>
        <w:t xml:space="preserve"> </w:t>
      </w:r>
      <w:r>
        <w:t>dipidana.</w:t>
      </w:r>
      <w:r>
        <w:rPr>
          <w:position w:val="6"/>
          <w:sz w:val="16"/>
        </w:rPr>
        <w:t>1</w:t>
      </w:r>
    </w:p>
    <w:p w:rsidR="00F40AC9" w:rsidRDefault="00F40AC9">
      <w:pPr>
        <w:pStyle w:val="BodyText"/>
        <w:jc w:val="left"/>
        <w:rPr>
          <w:sz w:val="28"/>
        </w:rPr>
      </w:pPr>
    </w:p>
    <w:p w:rsidR="00F40AC9" w:rsidRDefault="0015725D">
      <w:pPr>
        <w:pStyle w:val="BodyText"/>
        <w:spacing w:before="236"/>
        <w:ind w:left="218" w:right="171"/>
        <w:rPr>
          <w:sz w:val="16"/>
        </w:rPr>
      </w:pPr>
      <w:r>
        <w:t>Berbicara mengenai kejahatan dalam bentuk pencurian dalam kehidupan bermasyarakat tidak akan pernah berhenti sepanjang kehidupan, karena pencurian merupakan tindak kejahatan yang disebabkan dari unsur kesengajaan setiap orang demi memenuhi kebutuhan</w:t>
      </w:r>
      <w:r>
        <w:rPr>
          <w:spacing w:val="52"/>
        </w:rPr>
        <w:t xml:space="preserve"> </w:t>
      </w:r>
      <w:r>
        <w:t>hidupnya.  Jenis pencurian  ada  beberapa  macam  mulai  dari  pencurian yang bersifat kecil sampai ke yang bersifat besar, misalnya: pencurian ayam, pencurian uang, pencurian saham, pencurian barang tambang, pencurian kayu dan banyak sebagainya.</w:t>
      </w:r>
      <w:r>
        <w:rPr>
          <w:position w:val="5"/>
          <w:sz w:val="16"/>
        </w:rPr>
        <w:t>2</w:t>
      </w:r>
    </w:p>
    <w:p w:rsidR="00F40AC9" w:rsidRDefault="00F40AC9">
      <w:pPr>
        <w:pStyle w:val="BodyText"/>
        <w:spacing w:before="10"/>
        <w:jc w:val="left"/>
      </w:pPr>
    </w:p>
    <w:p w:rsidR="00F40AC9" w:rsidRDefault="0015725D">
      <w:pPr>
        <w:pStyle w:val="BodyText"/>
        <w:ind w:left="218" w:right="172"/>
      </w:pPr>
      <w:r>
        <w:t xml:space="preserve">Tindak pidana pencurian kayu hutan diatur dalam Undang-undang Nomor 41 Tahun 1999 tentang Pokok-Pokok Kehutanan, yang selanjutnya disebut Undang-Undang Tindak Pidana Hutanan (UU TIPIHUT). TIPIHUT adalah: </w:t>
      </w:r>
      <w:r>
        <w:rPr>
          <w:i/>
        </w:rPr>
        <w:t>“</w:t>
      </w:r>
      <w:r>
        <w:t>perbuatan yang dilarang peraturan kehutanan dan konservasi sumber daya alam hayati dan</w:t>
      </w:r>
      <w:r>
        <w:rPr>
          <w:spacing w:val="52"/>
        </w:rPr>
        <w:t xml:space="preserve"> </w:t>
      </w:r>
      <w:r>
        <w:t>ekosistemnya,  dengan  ancaman sanksi pidana bagi barangsiapa yang karena kesalahannya melanggar larangan tersebut</w:t>
      </w:r>
      <w:r>
        <w:rPr>
          <w:i/>
        </w:rPr>
        <w:t xml:space="preserve">”. </w:t>
      </w:r>
      <w:r>
        <w:t>Ada beberapa  perbuatan  yang dilarang dalam UU  TIPIHUT diantaranya</w:t>
      </w:r>
      <w:r>
        <w:rPr>
          <w:spacing w:val="50"/>
        </w:rPr>
        <w:t xml:space="preserve"> </w:t>
      </w:r>
      <w:r>
        <w:t>Pasal</w:t>
      </w:r>
    </w:p>
    <w:p w:rsidR="00F40AC9" w:rsidRDefault="0015725D">
      <w:pPr>
        <w:pStyle w:val="BodyText"/>
        <w:ind w:left="218" w:right="171"/>
      </w:pPr>
      <w:r>
        <w:t>50 ayat (1) dan (2). Pasal 50 ayat (1) berbunyi “Setiap orang</w:t>
      </w:r>
      <w:r>
        <w:rPr>
          <w:spacing w:val="52"/>
        </w:rPr>
        <w:t xml:space="preserve"> </w:t>
      </w:r>
      <w:r>
        <w:t>dilarang  merusak prasarana dan sarana perlindungan hutan”. Pasal 50 ayat (2) berbunyi: “Setiap orang yang diberikan izin usaha pemanfaatan kawasan, izin usaha pemanfaatan jasa lingkungan,    izin    usaha    pemanfaatan    hasil  hutan  kayu  dan  bukan  kayu,</w:t>
      </w:r>
      <w:r>
        <w:rPr>
          <w:spacing w:val="36"/>
        </w:rPr>
        <w:t xml:space="preserve"> </w:t>
      </w:r>
      <w:r>
        <w:t>serta  izin</w:t>
      </w:r>
    </w:p>
    <w:p w:rsidR="00F40AC9" w:rsidRDefault="00F40AC9">
      <w:pPr>
        <w:pStyle w:val="BodyText"/>
        <w:jc w:val="left"/>
        <w:rPr>
          <w:sz w:val="20"/>
        </w:rPr>
      </w:pPr>
    </w:p>
    <w:p w:rsidR="00F40AC9" w:rsidRDefault="00F40AC9">
      <w:pPr>
        <w:pStyle w:val="BodyText"/>
        <w:jc w:val="left"/>
        <w:rPr>
          <w:sz w:val="20"/>
        </w:rPr>
      </w:pPr>
    </w:p>
    <w:p w:rsidR="00F40AC9" w:rsidRDefault="00A71183">
      <w:pPr>
        <w:pStyle w:val="BodyText"/>
        <w:spacing w:before="1"/>
        <w:jc w:val="left"/>
        <w:rPr>
          <w:sz w:val="29"/>
        </w:rPr>
      </w:pPr>
      <w:r w:rsidRPr="00A71183">
        <w:pict>
          <v:rect id="_x0000_s2053" style="position:absolute;margin-left:68.9pt;margin-top:19pt;width:2in;height:.6pt;z-index:-15728640;mso-wrap-distance-left:0;mso-wrap-distance-right:0;mso-position-horizontal-relative:page" fillcolor="black" stroked="f">
            <w10:wrap type="topAndBottom" anchorx="page"/>
          </v:rect>
        </w:pict>
      </w:r>
    </w:p>
    <w:p w:rsidR="00F40AC9" w:rsidRDefault="0015725D">
      <w:pPr>
        <w:spacing w:before="61" w:line="278" w:lineRule="auto"/>
        <w:ind w:left="218" w:right="177" w:firstLine="566"/>
        <w:rPr>
          <w:sz w:val="20"/>
        </w:rPr>
      </w:pPr>
      <w:r>
        <w:rPr>
          <w:position w:val="5"/>
          <w:sz w:val="13"/>
        </w:rPr>
        <w:t xml:space="preserve">1 </w:t>
      </w:r>
      <w:r>
        <w:rPr>
          <w:sz w:val="20"/>
        </w:rPr>
        <w:t xml:space="preserve">Barda Nawawi Arif. 2003. </w:t>
      </w:r>
      <w:r>
        <w:rPr>
          <w:i/>
          <w:sz w:val="20"/>
        </w:rPr>
        <w:t xml:space="preserve">Bunga Rampai Kebijakan Hukum Pidana. </w:t>
      </w:r>
      <w:r>
        <w:rPr>
          <w:sz w:val="20"/>
        </w:rPr>
        <w:t>Citra Aditya Bakti, Bandung, hlm.</w:t>
      </w:r>
      <w:r>
        <w:rPr>
          <w:spacing w:val="-1"/>
          <w:sz w:val="20"/>
        </w:rPr>
        <w:t xml:space="preserve"> </w:t>
      </w:r>
      <w:r>
        <w:rPr>
          <w:sz w:val="20"/>
        </w:rPr>
        <w:t>85.</w:t>
      </w:r>
    </w:p>
    <w:p w:rsidR="00F40AC9" w:rsidRDefault="0015725D">
      <w:pPr>
        <w:spacing w:before="6"/>
        <w:ind w:left="784"/>
        <w:rPr>
          <w:sz w:val="20"/>
        </w:rPr>
      </w:pPr>
      <w:r>
        <w:rPr>
          <w:position w:val="6"/>
          <w:sz w:val="13"/>
        </w:rPr>
        <w:t xml:space="preserve">2 </w:t>
      </w:r>
      <w:r>
        <w:rPr>
          <w:sz w:val="20"/>
        </w:rPr>
        <w:t xml:space="preserve">Soerjono, Soerkanto. 2005. </w:t>
      </w:r>
      <w:r>
        <w:rPr>
          <w:i/>
          <w:sz w:val="20"/>
        </w:rPr>
        <w:t>Metode Penelitian Hukum</w:t>
      </w:r>
      <w:r>
        <w:rPr>
          <w:sz w:val="20"/>
        </w:rPr>
        <w:t>. Rineka Cipta, Jakarta, hlm. 2.</w:t>
      </w:r>
    </w:p>
    <w:p w:rsidR="00F40AC9" w:rsidRDefault="00F40AC9">
      <w:pPr>
        <w:rPr>
          <w:sz w:val="20"/>
        </w:rPr>
        <w:sectPr w:rsidR="00F40AC9">
          <w:pgSz w:w="11910" w:h="16840"/>
          <w:pgMar w:top="1460" w:right="1200" w:bottom="960" w:left="1160" w:header="0" w:footer="740" w:gutter="0"/>
          <w:cols w:space="720"/>
        </w:sectPr>
      </w:pPr>
    </w:p>
    <w:p w:rsidR="00F40AC9" w:rsidRDefault="0015725D">
      <w:pPr>
        <w:pStyle w:val="BodyText"/>
        <w:spacing w:before="82"/>
        <w:ind w:left="218" w:right="172"/>
        <w:rPr>
          <w:sz w:val="16"/>
        </w:rPr>
      </w:pPr>
      <w:r>
        <w:lastRenderedPageBreak/>
        <w:t xml:space="preserve">pemungutan hasil hutan kayu dan bukan kayu, dilarang melakukan kegiatan yang </w:t>
      </w:r>
      <w:r>
        <w:rPr>
          <w:position w:val="1"/>
        </w:rPr>
        <w:t>menimbulkan kerusakan hutan”</w:t>
      </w:r>
      <w:r>
        <w:t>.</w:t>
      </w:r>
      <w:r>
        <w:rPr>
          <w:position w:val="7"/>
          <w:sz w:val="16"/>
        </w:rPr>
        <w:t>3</w:t>
      </w:r>
    </w:p>
    <w:p w:rsidR="00F40AC9" w:rsidRDefault="00F40AC9">
      <w:pPr>
        <w:pStyle w:val="BodyText"/>
        <w:jc w:val="left"/>
      </w:pPr>
    </w:p>
    <w:p w:rsidR="00F40AC9" w:rsidRDefault="0015725D">
      <w:pPr>
        <w:pStyle w:val="BodyText"/>
        <w:spacing w:line="242" w:lineRule="auto"/>
        <w:ind w:left="218" w:right="173"/>
        <w:rPr>
          <w:sz w:val="16"/>
        </w:rPr>
      </w:pPr>
      <w:r>
        <w:t>Perangkat hukum diperlukan untuk menyelesaikan konflik atau kejahatan yang ada dalam masyarakat. Salah satu usaha pencegahannya dan pengendalian kejahatan  itu ialah dengan menggunakan hukum pidana dengan sanksinya yang berupa</w:t>
      </w:r>
      <w:r>
        <w:rPr>
          <w:spacing w:val="52"/>
        </w:rPr>
        <w:t xml:space="preserve"> </w:t>
      </w:r>
      <w:r>
        <w:t xml:space="preserve">pidana. Tindak pidana dapat diartikan secara kriminologis dan yuridis.  Tindak pidana dalam  arti kriminologis yaitu perbuatan manusia yang menodai norma-norma dasar dari </w:t>
      </w:r>
      <w:r>
        <w:rPr>
          <w:position w:val="1"/>
        </w:rPr>
        <w:t xml:space="preserve">masyarakat. Hal ini dimaksudkan sebagai perbuatan </w:t>
      </w:r>
      <w:r>
        <w:t>unsur yang menyalahi aturan- aturan yang hidup dan berkembang di masyarakat.</w:t>
      </w:r>
      <w:r>
        <w:rPr>
          <w:spacing w:val="-29"/>
        </w:rPr>
        <w:t xml:space="preserve"> </w:t>
      </w:r>
      <w:r>
        <w:rPr>
          <w:position w:val="7"/>
          <w:sz w:val="16"/>
        </w:rPr>
        <w:t>4</w:t>
      </w:r>
    </w:p>
    <w:p w:rsidR="00F40AC9" w:rsidRDefault="00F40AC9">
      <w:pPr>
        <w:pStyle w:val="BodyText"/>
        <w:spacing w:before="3"/>
        <w:jc w:val="left"/>
        <w:rPr>
          <w:sz w:val="23"/>
        </w:rPr>
      </w:pPr>
    </w:p>
    <w:p w:rsidR="00F40AC9" w:rsidRDefault="0015725D">
      <w:pPr>
        <w:pStyle w:val="BodyText"/>
        <w:ind w:left="218" w:right="170"/>
      </w:pPr>
      <w:r>
        <w:t>Tindak pidana dalam arti yuridis yaitu perilaku jahat atau perbuatan jahat dalam arti hukum pidana maksudnya bahwa kejahatan itu dirumuskan di dalam peraturan- peraturan pidana. Tindak pidana yang terjadi di dalam masyarakat adalah tindak pidana terhadap harta kekayaan (tindak pidana materiil), seperti pencurian, pemerasan, penggelapan, penipuan, pengrusakan, dan penadahan. Tindak pidana yang terjadi belakangan ini adalah tindak pidana mengangkut, menguasai, atau memiliki hasil hutan kayu yang tidak dilengkapi secara bersama surat keterangan sahnya hasil hutan.</w:t>
      </w:r>
    </w:p>
    <w:p w:rsidR="00F40AC9" w:rsidRDefault="00F40AC9">
      <w:pPr>
        <w:pStyle w:val="BodyText"/>
        <w:spacing w:before="1"/>
        <w:jc w:val="left"/>
      </w:pPr>
    </w:p>
    <w:p w:rsidR="00F40AC9" w:rsidRDefault="0015725D">
      <w:pPr>
        <w:pStyle w:val="BodyText"/>
        <w:ind w:left="218" w:right="175"/>
      </w:pPr>
      <w:r>
        <w:t>Salah satu bentuk tindak pidana tindak pidana mengangkut, menguasai, atau memiliki hasil hutan kayu yang tidak dilengkapi secara bersama surat keterangan sahnya hasil hutan sebagaimana diatur dalam Pasal 83 ayat (1) huruf b Undang-Undang Republik Indonesia Nomor 18 tahun 2013 tentang Pencegahan dan Pemberantasan Perusakan Hutan yang menyatakan bahwa mengangkut, menguasai, atau memiliki hasil hutan kayu yang tidak dilengkapi secara bersama surat keterangan sahnya hasil hutan sebagaimana dimaksud dalam Pasal 12 huruf e dipidana dengan pidana penjara paling singkat 1 (satu) tahun dan paling lama 5 (lima) tahun serta pidana denda paling sedikit Rp500.000.000,00 (lima ratus juta rupiah) dan paling banyak Rp2.500.000.000,00 (dua miliar lima ratus juta</w:t>
      </w:r>
      <w:r>
        <w:rPr>
          <w:spacing w:val="-4"/>
        </w:rPr>
        <w:t xml:space="preserve"> </w:t>
      </w:r>
      <w:r>
        <w:t>rupiah).</w:t>
      </w:r>
    </w:p>
    <w:p w:rsidR="00F40AC9" w:rsidRDefault="00F40AC9">
      <w:pPr>
        <w:pStyle w:val="BodyText"/>
        <w:spacing w:before="2"/>
        <w:jc w:val="left"/>
      </w:pPr>
    </w:p>
    <w:p w:rsidR="00F40AC9" w:rsidRDefault="0015725D">
      <w:pPr>
        <w:pStyle w:val="BodyText"/>
        <w:ind w:left="218" w:right="186"/>
      </w:pPr>
      <w:r>
        <w:t>Berdasarkan pada Putusan Nomor: 259/Pid.Sus/LH/2019/PN Kot, dimana pada putusan tersebut menyatakan Terdakwa Rendra Wahyu Setiawan bin Sutrisno telah terbukti secara sah dan meyakinkan bersalah melakukan tindak pidana “Mengangkut hasil hutan kayu yang tidak dilengkapi secara bersama surat keterangan sahnya hasil hutan”. Menjatuhkan pidana terhadap Terdakwa Rendra Wahyu Setiawan bin Sutrisno oleh karena itu dengan pidana penjara selama 1 (satu) tahun 1 (satu) bulan dan pidana denda sebesar Rp500.000.000,00 (lima ratus juta rupiah) dengan ketentuan apabila denda tersebut tidak dibayar maka diganti dengan pidana penjara selama 1 (satu) bulan. Menetapkan masa penangkapan dan penahanan yang telah dijalani oleh Terdakwa dikurangkan seluruhnya dari pidana yang dijatuhkan. Menetapkan Terdakwa tetap ditahan. Menetapkan barang bukti berupa: 10 (sepuluh) batang kayu jenis cempaka ukuran 2 (dua) meter yang berbentuk gelondongan dan balken, 1 (satu) unit mobil Mitsubishi L 300 warna hitam dengan Nomor Polisi: BE 8368 CG, 1 (satu) buah STNK mobil Mitsubishi L 300 warna hitam dengan Nomor Polisi BE 8368 CG dan dipergunakan dalam berkas perkara a.n. Gatra Kirana, S. Sos I bin Darwis.</w:t>
      </w:r>
    </w:p>
    <w:p w:rsidR="00F40AC9" w:rsidRDefault="00F40AC9">
      <w:pPr>
        <w:pStyle w:val="BodyText"/>
        <w:jc w:val="left"/>
        <w:rPr>
          <w:sz w:val="20"/>
        </w:rPr>
      </w:pPr>
    </w:p>
    <w:p w:rsidR="00F40AC9" w:rsidRDefault="00A71183">
      <w:pPr>
        <w:pStyle w:val="BodyText"/>
        <w:spacing w:before="1"/>
        <w:jc w:val="left"/>
        <w:rPr>
          <w:sz w:val="23"/>
        </w:rPr>
      </w:pPr>
      <w:r w:rsidRPr="00A71183">
        <w:pict>
          <v:rect id="_x0000_s2052" style="position:absolute;margin-left:68.9pt;margin-top:15.5pt;width:2in;height:.6pt;z-index:-15728128;mso-wrap-distance-left:0;mso-wrap-distance-right:0;mso-position-horizontal-relative:page" fillcolor="black" stroked="f">
            <w10:wrap type="topAndBottom" anchorx="page"/>
          </v:rect>
        </w:pict>
      </w:r>
    </w:p>
    <w:p w:rsidR="00F40AC9" w:rsidRDefault="0015725D">
      <w:pPr>
        <w:spacing w:before="64"/>
        <w:ind w:left="784"/>
        <w:rPr>
          <w:sz w:val="20"/>
        </w:rPr>
      </w:pPr>
      <w:r>
        <w:rPr>
          <w:position w:val="5"/>
          <w:sz w:val="13"/>
        </w:rPr>
        <w:t xml:space="preserve">3 </w:t>
      </w:r>
      <w:r>
        <w:rPr>
          <w:sz w:val="20"/>
        </w:rPr>
        <w:t xml:space="preserve">Muladi dan Barda Nawawi. 1992. </w:t>
      </w:r>
      <w:r>
        <w:rPr>
          <w:i/>
          <w:sz w:val="20"/>
        </w:rPr>
        <w:t xml:space="preserve">Teori-teori dan Kebijakan Pidana. </w:t>
      </w:r>
      <w:r>
        <w:rPr>
          <w:sz w:val="20"/>
        </w:rPr>
        <w:t>Alumni, Bandung, hlm. 148.</w:t>
      </w:r>
    </w:p>
    <w:p w:rsidR="00F40AC9" w:rsidRDefault="0015725D">
      <w:pPr>
        <w:spacing w:before="34"/>
        <w:ind w:left="784"/>
        <w:rPr>
          <w:sz w:val="20"/>
        </w:rPr>
      </w:pPr>
      <w:r>
        <w:rPr>
          <w:position w:val="5"/>
          <w:sz w:val="13"/>
        </w:rPr>
        <w:t xml:space="preserve">4 </w:t>
      </w:r>
      <w:r>
        <w:rPr>
          <w:i/>
          <w:sz w:val="20"/>
        </w:rPr>
        <w:t>Ibid</w:t>
      </w:r>
      <w:r>
        <w:rPr>
          <w:sz w:val="20"/>
        </w:rPr>
        <w:t>, hlm. 149.</w:t>
      </w:r>
    </w:p>
    <w:p w:rsidR="00F40AC9" w:rsidRDefault="00F40AC9">
      <w:pPr>
        <w:rPr>
          <w:sz w:val="20"/>
        </w:rPr>
        <w:sectPr w:rsidR="00F40AC9">
          <w:pgSz w:w="11910" w:h="16840"/>
          <w:pgMar w:top="1460" w:right="1200" w:bottom="960" w:left="1160" w:header="0" w:footer="740" w:gutter="0"/>
          <w:cols w:space="720"/>
        </w:sectPr>
      </w:pPr>
    </w:p>
    <w:p w:rsidR="00F40AC9" w:rsidRDefault="0015725D">
      <w:pPr>
        <w:pStyle w:val="Heading2"/>
        <w:numPr>
          <w:ilvl w:val="0"/>
          <w:numId w:val="5"/>
        </w:numPr>
        <w:tabs>
          <w:tab w:val="left" w:pos="646"/>
        </w:tabs>
        <w:spacing w:before="82" w:line="281" w:lineRule="exact"/>
      </w:pPr>
      <w:r>
        <w:lastRenderedPageBreak/>
        <w:t>Metode</w:t>
      </w:r>
      <w:r>
        <w:rPr>
          <w:spacing w:val="-1"/>
        </w:rPr>
        <w:t xml:space="preserve"> </w:t>
      </w:r>
      <w:r>
        <w:t>Penelitian</w:t>
      </w:r>
    </w:p>
    <w:p w:rsidR="00F40AC9" w:rsidRDefault="0015725D">
      <w:pPr>
        <w:pStyle w:val="BodyText"/>
        <w:ind w:left="218" w:right="195"/>
      </w:pPr>
      <w:r>
        <w:t>Metode penelitian menggunakan pendekatan yuridis normatif dan empiris. Jenis data yang digunakan adalah data sekunder dan data primer. Pengumpulan data melalui penelitian kepustakaan (</w:t>
      </w:r>
      <w:r>
        <w:rPr>
          <w:i/>
        </w:rPr>
        <w:t>library research</w:t>
      </w:r>
      <w:r>
        <w:t>) dan penelitian lapangan (</w:t>
      </w:r>
      <w:r>
        <w:rPr>
          <w:i/>
        </w:rPr>
        <w:t>field research</w:t>
      </w:r>
      <w:r>
        <w:t>). Analisis data yang digunakan adalah yuridis kualitatif.</w:t>
      </w:r>
    </w:p>
    <w:p w:rsidR="00F40AC9" w:rsidRDefault="00F40AC9">
      <w:pPr>
        <w:pStyle w:val="BodyText"/>
        <w:spacing w:before="11"/>
        <w:jc w:val="left"/>
        <w:rPr>
          <w:sz w:val="23"/>
        </w:rPr>
      </w:pPr>
    </w:p>
    <w:p w:rsidR="00F40AC9" w:rsidRDefault="0015725D">
      <w:pPr>
        <w:pStyle w:val="Heading2"/>
        <w:numPr>
          <w:ilvl w:val="0"/>
          <w:numId w:val="5"/>
        </w:numPr>
        <w:tabs>
          <w:tab w:val="left" w:pos="646"/>
        </w:tabs>
      </w:pPr>
      <w:r>
        <w:t>Hasil Penelitian dan</w:t>
      </w:r>
      <w:r>
        <w:rPr>
          <w:spacing w:val="-3"/>
        </w:rPr>
        <w:t xml:space="preserve"> </w:t>
      </w:r>
      <w:r>
        <w:t>Pembahasan</w:t>
      </w:r>
    </w:p>
    <w:p w:rsidR="00F40AC9" w:rsidRDefault="00F40AC9">
      <w:pPr>
        <w:pStyle w:val="BodyText"/>
        <w:spacing w:before="1"/>
        <w:jc w:val="left"/>
        <w:rPr>
          <w:b/>
        </w:rPr>
      </w:pPr>
    </w:p>
    <w:p w:rsidR="00F40AC9" w:rsidRDefault="00515C11">
      <w:pPr>
        <w:pStyle w:val="ListParagraph"/>
        <w:numPr>
          <w:ilvl w:val="1"/>
          <w:numId w:val="5"/>
        </w:numPr>
        <w:tabs>
          <w:tab w:val="left" w:pos="579"/>
        </w:tabs>
        <w:spacing w:before="1"/>
        <w:ind w:right="176"/>
        <w:rPr>
          <w:b/>
          <w:sz w:val="24"/>
        </w:rPr>
      </w:pPr>
      <w:r>
        <w:rPr>
          <w:b/>
          <w:sz w:val="24"/>
        </w:rPr>
        <w:t xml:space="preserve">3.1 </w:t>
      </w:r>
      <w:r w:rsidR="0015725D">
        <w:rPr>
          <w:b/>
          <w:sz w:val="24"/>
        </w:rPr>
        <w:t>Faktor Penyebab Pelaku Melakukan Tindak Pidana Mengangkut, Menguasai, atau Memiliki Hasil Hutan Kayu yang Tidak Dilengkapi Secara Bersama Surat Keterangan Sahnya Hasil Hutan Berdasarkan Putusan Nomor: 259/Pid.Sus/LH/2019/PN</w:t>
      </w:r>
      <w:r w:rsidR="0015725D">
        <w:rPr>
          <w:b/>
          <w:spacing w:val="-2"/>
          <w:sz w:val="24"/>
        </w:rPr>
        <w:t xml:space="preserve"> </w:t>
      </w:r>
      <w:r w:rsidR="0015725D">
        <w:rPr>
          <w:b/>
          <w:sz w:val="24"/>
        </w:rPr>
        <w:t>Kot</w:t>
      </w:r>
    </w:p>
    <w:p w:rsidR="00F40AC9" w:rsidRDefault="0015725D">
      <w:pPr>
        <w:pStyle w:val="BodyText"/>
        <w:spacing w:before="1"/>
        <w:ind w:left="218" w:right="175"/>
      </w:pPr>
      <w:r>
        <w:t>Pengangkutan kayu hasil hutan adalah proses yang dimulai dari memuat hasil hutan kedalam alat angkut dan alat angkut yang membawa hasil hutan bergerak ketempat tujuan dan membongkar, menurunkan atau mengeluarkan hasil hutan dari alat angkut. Namun pada kenyataannya banyak pihak-pihak yang melakukan kegiatan pengangkutan kayu hasil hutan yang tidak mengikuti prosedur atau tatacara yang telah ditetapkan oleh pemerintah. Salah satunya yaitu banyak kegiatan pengangkutan kayu hasil hutan tanpa memiliki surat keterangan sahnya hasil hutan.</w:t>
      </w:r>
    </w:p>
    <w:p w:rsidR="00F40AC9" w:rsidRDefault="00F40AC9">
      <w:pPr>
        <w:pStyle w:val="BodyText"/>
        <w:jc w:val="left"/>
      </w:pPr>
    </w:p>
    <w:p w:rsidR="00F40AC9" w:rsidRDefault="0015725D">
      <w:pPr>
        <w:pStyle w:val="BodyText"/>
        <w:spacing w:before="1"/>
        <w:ind w:left="218" w:right="173"/>
      </w:pPr>
      <w:r>
        <w:t>Perusakan hutan telah menjadi suatu tindak pidana kejahatan yang berdampak luar biasa. Maraknya praktek-praktek tindak pidana bidang kehutanan di tanah air menjadi keprihatinan berbagai pihak. Sehingga Pemerintah mengeluarkan Peraturan Perundang- undangan antara lain Undang-Undang Nomor 41 Tahun 1999 tentang Kehutanan. Namun, Undang-undang tersebut dianggap tidak memadai dan belum mampu menangani pemberantasan secara efektif terhadap perusakan hutan. Berdasarkan pertimbangan tersebut disusun dan diundangkanlah Undang-Undang Nomor 18 Tahun 2013 tentang Pencegahan dan Pemberantasan Perusakan Hutan (P3H). Undang-Undang Nomor 18 Tahun 2013 tentang Pencegahan dan Pemberantasan Perusakan Hutan sebagai salah satu pencegahan agar tidak terjadinya tindak pidana pengangkutan kayu hasil hutan tanpa memiliki surat keterangan sahnya hasil hutan. Dengan sanksi pidana dan administrasi yang besar diharapkan akan menimbulkan efek jera bagi pelanggar hukum di bidang</w:t>
      </w:r>
      <w:r>
        <w:rPr>
          <w:spacing w:val="-2"/>
        </w:rPr>
        <w:t xml:space="preserve"> </w:t>
      </w:r>
      <w:r>
        <w:t>kehutanan.</w:t>
      </w:r>
    </w:p>
    <w:p w:rsidR="00F40AC9" w:rsidRDefault="00F40AC9">
      <w:pPr>
        <w:pStyle w:val="BodyText"/>
        <w:spacing w:before="1"/>
        <w:jc w:val="left"/>
      </w:pPr>
    </w:p>
    <w:p w:rsidR="00F40AC9" w:rsidRDefault="0015725D">
      <w:pPr>
        <w:pStyle w:val="BodyText"/>
        <w:ind w:left="218" w:right="177"/>
      </w:pPr>
      <w:r>
        <w:t>Adapun yang menjadi faktor penyebab pertama terjadinya tindak pidana mengangkut, menguasai, atau memiliki hasil hutan kayu yang tidak dilengkapi secara bersama surat keterangan sahnya hasil hutan di Wilayah Hukum Pengadilan Negeri Kota Agung yaitu:</w:t>
      </w:r>
    </w:p>
    <w:p w:rsidR="00F40AC9" w:rsidRDefault="0015725D">
      <w:pPr>
        <w:pStyle w:val="ListParagraph"/>
        <w:numPr>
          <w:ilvl w:val="0"/>
          <w:numId w:val="4"/>
        </w:numPr>
        <w:tabs>
          <w:tab w:val="left" w:pos="579"/>
        </w:tabs>
        <w:spacing w:before="1" w:line="281" w:lineRule="exact"/>
        <w:ind w:hanging="361"/>
        <w:rPr>
          <w:sz w:val="24"/>
        </w:rPr>
      </w:pPr>
      <w:r>
        <w:rPr>
          <w:sz w:val="24"/>
        </w:rPr>
        <w:t>Faktor</w:t>
      </w:r>
      <w:r>
        <w:rPr>
          <w:spacing w:val="-3"/>
          <w:sz w:val="24"/>
        </w:rPr>
        <w:t xml:space="preserve"> </w:t>
      </w:r>
      <w:r>
        <w:rPr>
          <w:sz w:val="24"/>
        </w:rPr>
        <w:t>Ekonomi</w:t>
      </w:r>
    </w:p>
    <w:p w:rsidR="00F40AC9" w:rsidRDefault="0015725D">
      <w:pPr>
        <w:pStyle w:val="BodyText"/>
        <w:ind w:left="578" w:right="172"/>
      </w:pPr>
      <w:r>
        <w:t>Hasil wawancara dengan Edi Qorinas selaku Penyidik Polres Tanggamus menyatakan bahwa faktor tingkat ekonomi dan pendidikan masyarakat yang berada dikawasan hutan tersebut sangat rendah. Jadi masyarakat yang berada di kawasan daerah yang sering terjadi tindak pidana mengangkut, menguasai, atau memiliki hasil hutan kayu yang tidak dilengkapi secara bersama surat keterangan sahnya hasil hutan tersebut mereka sering kali dibodohi oleh oknum-oknum yang mempunyai kepentingan tersendiri, mereka telah diiming-imingi dengan sejumlah uang untuk menebang pohon-pohon yang ada dihutan dengan tidak adanya izin dari pemerintah ataupun oknum yang bertugas di kawasan daerah perhutanan tersebut, dan masyarakatpun tidak mengetahui apa dampak dari yang mereka lakukan ini.</w:t>
      </w:r>
    </w:p>
    <w:p w:rsidR="00F40AC9" w:rsidRDefault="00F40AC9">
      <w:pPr>
        <w:sectPr w:rsidR="00F40AC9">
          <w:pgSz w:w="11910" w:h="16840"/>
          <w:pgMar w:top="1460" w:right="1200" w:bottom="960" w:left="1160" w:header="0" w:footer="740" w:gutter="0"/>
          <w:cols w:space="720"/>
        </w:sectPr>
      </w:pPr>
    </w:p>
    <w:p w:rsidR="00F40AC9" w:rsidRDefault="0015725D">
      <w:pPr>
        <w:pStyle w:val="BodyText"/>
        <w:spacing w:before="82"/>
        <w:ind w:left="578" w:right="174"/>
      </w:pPr>
      <w:r>
        <w:lastRenderedPageBreak/>
        <w:t>Hasil wawancara dengan Rustam Efendi selaku Staf Dinas Kehutanan Provinsi Lampung menyatakan bahwa faktor penyebabnya adalah kemiskinan dan faktor lapangan kerja. Umumnya hal ini terjadi pada masyarakat yang berdomisili dekat ataupun didalam hutan. Di tengah sulitnya persaingan di dunia kerja dan himpitan akan ekonomi, masyarakat mau tidak mau melakukan tindak pidana mengangkut, menguasai, atau memiliki hasil hutan kayu yang tidak dilengkapi secara bersama surat keterangan sahnya hasil hutan sebagai pembalak liar dan dari sini masyarakat bias menopang kehidupannya. Selain itu juga terdapat aspek kerja aparatur dilapangan, kelestarian hutan merupakan tanggung jawab</w:t>
      </w:r>
      <w:r>
        <w:rPr>
          <w:spacing w:val="-9"/>
        </w:rPr>
        <w:t xml:space="preserve"> </w:t>
      </w:r>
      <w:r>
        <w:t>bersama.</w:t>
      </w:r>
    </w:p>
    <w:p w:rsidR="00F40AC9" w:rsidRDefault="0015725D">
      <w:pPr>
        <w:pStyle w:val="ListParagraph"/>
        <w:numPr>
          <w:ilvl w:val="0"/>
          <w:numId w:val="4"/>
        </w:numPr>
        <w:tabs>
          <w:tab w:val="left" w:pos="579"/>
        </w:tabs>
        <w:spacing w:line="281" w:lineRule="exact"/>
        <w:ind w:hanging="361"/>
        <w:rPr>
          <w:sz w:val="24"/>
        </w:rPr>
      </w:pPr>
      <w:r>
        <w:rPr>
          <w:sz w:val="24"/>
        </w:rPr>
        <w:t>Faktor</w:t>
      </w:r>
      <w:r>
        <w:rPr>
          <w:spacing w:val="-3"/>
          <w:sz w:val="24"/>
        </w:rPr>
        <w:t xml:space="preserve"> </w:t>
      </w:r>
      <w:r>
        <w:rPr>
          <w:sz w:val="24"/>
        </w:rPr>
        <w:t>Pendidikan</w:t>
      </w:r>
    </w:p>
    <w:p w:rsidR="00F40AC9" w:rsidRDefault="0015725D">
      <w:pPr>
        <w:pStyle w:val="BodyText"/>
        <w:ind w:left="578" w:right="176"/>
      </w:pPr>
      <w:r>
        <w:t>Hasil wawancara dengan I Kadek Dwi Ariatmaja selaku Jaksa Kejaksaan Negeri Kota Agung menyatakan bahwa masyarakat yang kurang pendidikannya dimanfaatkan oleh oknum-oknum yang punya bisnis kayu Illegal untuk menebang hutan. Dan mereka pun mudah dimanfaatkan karena untuk mencari kerja yang lain mereka tidak punya kualifikasi berupa ijazah dan pendidikan yang</w:t>
      </w:r>
      <w:r>
        <w:rPr>
          <w:spacing w:val="-6"/>
        </w:rPr>
        <w:t xml:space="preserve"> </w:t>
      </w:r>
      <w:r>
        <w:t>memadai.</w:t>
      </w:r>
    </w:p>
    <w:p w:rsidR="00F40AC9" w:rsidRDefault="0015725D">
      <w:pPr>
        <w:pStyle w:val="ListParagraph"/>
        <w:numPr>
          <w:ilvl w:val="0"/>
          <w:numId w:val="4"/>
        </w:numPr>
        <w:tabs>
          <w:tab w:val="left" w:pos="579"/>
        </w:tabs>
        <w:spacing w:before="3" w:line="281" w:lineRule="exact"/>
        <w:ind w:hanging="361"/>
        <w:rPr>
          <w:sz w:val="24"/>
        </w:rPr>
      </w:pPr>
      <w:r>
        <w:rPr>
          <w:sz w:val="24"/>
        </w:rPr>
        <w:t>Faktor Sulitnya Memperoleh</w:t>
      </w:r>
      <w:r>
        <w:rPr>
          <w:spacing w:val="-4"/>
          <w:sz w:val="24"/>
        </w:rPr>
        <w:t xml:space="preserve"> </w:t>
      </w:r>
      <w:r>
        <w:rPr>
          <w:sz w:val="24"/>
        </w:rPr>
        <w:t>Izin</w:t>
      </w:r>
    </w:p>
    <w:p w:rsidR="00F40AC9" w:rsidRDefault="0015725D">
      <w:pPr>
        <w:pStyle w:val="BodyText"/>
        <w:ind w:left="578" w:right="173"/>
      </w:pPr>
      <w:r>
        <w:t>Hasil wawancara dengan selaku Ratriningsih Ariani selaku Hakim Pengadilan Negeri Kota Agung menyatakan bahwa saat ingin melakukan penebangan pohon di hutan hal yang pertama mereka lakukan adalah tidak langsung menebang pohon begitu saja atau kita sebut dengan tindak pidana mengangkut, menguasai, atau memiliki hasil hutan kayu yang tidak dilengkapi secara bersama surat keterangan sahnya hasil hutan, tetapi mereka meminta izin kepada instansi yang bertugas di kawasan tersebut, namun terkadang para oknum hanya memberikan dalam tempo waktu yang sangat singkat (dalam kurun waktu paling lama hanya 4 minggu). Pada saat mereka melakukan perpanjangan surat izin penebangan pohon, yang sering kali terjadi adalah para oknum mempersulit masyarakat dalam memperpanjangan surat izin penebangan pohon. Hal inilah yang sering kali membuat masyarakat melakukan tindak pidana mengangkut, menguasai, atau memiliki hasil hutan kayu yang tidak dilengkapi secara bersama surat keterangan sahnya hasil hutan. Selain rendahnya keadaan ekonomi masyarakat sekitar hutan, hal inilah yang menyebabkan semakin meningkatnya kasus tindak pidana mengangkut, menguasai, atau memiliki hasil hutan kayu yang tidak dilengkapi secara bersama surat keterangan sahnya hasil hutan, minimnya jumlahpetugas kemanan hutan dan kurangnya sarana pengamanan hutan yang dimiliki oleh pemerintah seperti senjata api yang digunakan oleh petugas dalam menjaga keamanan hutan dari tindak pidana tindak pidana mengangkut, menguasai, atau memiliki hasil hutan kayu yang tidak dilengkapi secara bersama surat keterangan sahnya hasil hutan. Hasil wawancara dengan Rustam Efendi selaku Staf Dinas Kehutanan Provinsi Lampung menyatakan bahwa upaya pengamanan hutan pada dasarnya mempunyai tujuan untuk melestarikan sumber daya alam hutan dalam rangka usaha menjaga fungsi hutan. menjaga fungsi hutan. Oleh karena itu di lingkungan Kementerian Kehutanan dan perkebunan dibentuk Polisi Khusus Kehutanan (Polhut). Polisi hutan adalah pejabat struktural tertentu dalam lingkungan instansi kehutanan yang sesuai dengan tufgas dan fungsinya mempunyai wewenang dan tanggung jawab di bidang perlindungan</w:t>
      </w:r>
      <w:r>
        <w:rPr>
          <w:spacing w:val="-4"/>
        </w:rPr>
        <w:t xml:space="preserve"> </w:t>
      </w:r>
      <w:r>
        <w:t>hutan.</w:t>
      </w:r>
    </w:p>
    <w:p w:rsidR="00F40AC9" w:rsidRDefault="00F40AC9">
      <w:pPr>
        <w:pStyle w:val="BodyText"/>
        <w:spacing w:before="3"/>
        <w:jc w:val="left"/>
      </w:pPr>
    </w:p>
    <w:p w:rsidR="00F40AC9" w:rsidRDefault="0015725D">
      <w:pPr>
        <w:pStyle w:val="BodyText"/>
        <w:spacing w:before="1"/>
        <w:ind w:left="578" w:right="180"/>
      </w:pPr>
      <w:r>
        <w:t>Tugas dan Fungsi Polisi Hutan Berdasarkan Pasal 4 ayat (1) Peraturan Menteri Kehutanan No.P75/Menhut-II/2014 tentang Polisi Kehutanan, tuigas dan fungsi Polisi Kehutanan adalah:</w:t>
      </w:r>
    </w:p>
    <w:p w:rsidR="00F40AC9" w:rsidRDefault="00F40AC9">
      <w:pPr>
        <w:sectPr w:rsidR="00F40AC9">
          <w:pgSz w:w="11910" w:h="16840"/>
          <w:pgMar w:top="1460" w:right="1200" w:bottom="960" w:left="1160" w:header="0" w:footer="740" w:gutter="0"/>
          <w:cols w:space="720"/>
        </w:sectPr>
      </w:pPr>
    </w:p>
    <w:p w:rsidR="00F40AC9" w:rsidRDefault="0015725D">
      <w:pPr>
        <w:pStyle w:val="ListParagraph"/>
        <w:numPr>
          <w:ilvl w:val="1"/>
          <w:numId w:val="4"/>
        </w:numPr>
        <w:tabs>
          <w:tab w:val="left" w:pos="938"/>
        </w:tabs>
        <w:spacing w:before="82"/>
        <w:ind w:right="180"/>
        <w:rPr>
          <w:sz w:val="24"/>
        </w:rPr>
      </w:pPr>
      <w:r>
        <w:rPr>
          <w:sz w:val="24"/>
        </w:rPr>
        <w:lastRenderedPageBreak/>
        <w:t>Melaksanakan perlindungan dan pengamanan hutan, kawasan hutan, hasil hutan tumbuhan dan satwa liar;</w:t>
      </w:r>
      <w:r>
        <w:rPr>
          <w:spacing w:val="-4"/>
          <w:sz w:val="24"/>
        </w:rPr>
        <w:t xml:space="preserve"> </w:t>
      </w:r>
      <w:r>
        <w:rPr>
          <w:sz w:val="24"/>
        </w:rPr>
        <w:t>dan</w:t>
      </w:r>
    </w:p>
    <w:p w:rsidR="00F40AC9" w:rsidRDefault="0015725D">
      <w:pPr>
        <w:pStyle w:val="ListParagraph"/>
        <w:numPr>
          <w:ilvl w:val="1"/>
          <w:numId w:val="4"/>
        </w:numPr>
        <w:tabs>
          <w:tab w:val="left" w:pos="938"/>
        </w:tabs>
        <w:ind w:right="179"/>
        <w:rPr>
          <w:sz w:val="24"/>
        </w:rPr>
      </w:pPr>
      <w:r>
        <w:rPr>
          <w:sz w:val="24"/>
        </w:rPr>
        <w:t>Mempertahankan dan menjaga hak-hak negara, masyarakat, dan perorangan atas hutan, kawasan hutan hasil hutan, tumbuhan dan satwaliar, insvestasi serta peranggkat yang berhubungan dengan pengelolaan</w:t>
      </w:r>
      <w:r>
        <w:rPr>
          <w:spacing w:val="-4"/>
          <w:sz w:val="24"/>
        </w:rPr>
        <w:t xml:space="preserve"> </w:t>
      </w:r>
      <w:r>
        <w:rPr>
          <w:sz w:val="24"/>
        </w:rPr>
        <w:t>hutan.</w:t>
      </w:r>
    </w:p>
    <w:p w:rsidR="00F40AC9" w:rsidRDefault="0015725D">
      <w:pPr>
        <w:pStyle w:val="ListParagraph"/>
        <w:numPr>
          <w:ilvl w:val="0"/>
          <w:numId w:val="4"/>
        </w:numPr>
        <w:tabs>
          <w:tab w:val="left" w:pos="579"/>
        </w:tabs>
        <w:spacing w:line="281" w:lineRule="exact"/>
        <w:ind w:hanging="361"/>
        <w:rPr>
          <w:sz w:val="24"/>
        </w:rPr>
      </w:pPr>
      <w:r>
        <w:rPr>
          <w:sz w:val="24"/>
        </w:rPr>
        <w:t>Faktor Kurangnya Pengawasan</w:t>
      </w:r>
      <w:r>
        <w:rPr>
          <w:spacing w:val="-4"/>
          <w:sz w:val="24"/>
        </w:rPr>
        <w:t xml:space="preserve"> </w:t>
      </w:r>
      <w:r>
        <w:rPr>
          <w:sz w:val="24"/>
        </w:rPr>
        <w:t>Hutan</w:t>
      </w:r>
    </w:p>
    <w:p w:rsidR="00F40AC9" w:rsidRDefault="0015725D">
      <w:pPr>
        <w:pStyle w:val="BodyText"/>
        <w:ind w:left="578" w:right="176"/>
      </w:pPr>
      <w:r>
        <w:t>Hasil wawancara dengan Edi Qorinas selaku Penyidik Polres Tanggamus menyatakan bahwa faktor penebangan hutan secara illegal lainnya adalah pembalakan untuk mendapatkan kayu dan alih fungsi lahan untuk kegunaan lain, seperti perkebunan, pertanian,dan pemukiman akibat kurangnya pengawasan. Salah satu caranya yaitu dengan dibentuk suatu aparatur yang tugasnya bukan hanya menjaga namun juga mengawasi tindakan penyalahgunaan fungsi hutan. Perkembangan teknologi yang pesat sehingga kemampuan orang untuk mengeksploitasi hutan khususnya untuk tindak pidana mengangkut, menguasai, atau memiliki hasil hutan kayu yang tidak dilengkapi secara bersama surat keterangan sahnya hasil hutan semakin mudah dilakukan dengan semakin berkembangnya teknologi untuk menebang pohon diperlukan dengan waktu yang tidak lama karena alat-alat semakin canggih.</w:t>
      </w:r>
    </w:p>
    <w:p w:rsidR="00F40AC9" w:rsidRDefault="00F40AC9">
      <w:pPr>
        <w:pStyle w:val="BodyText"/>
        <w:spacing w:before="1"/>
        <w:jc w:val="left"/>
      </w:pPr>
    </w:p>
    <w:p w:rsidR="00F40AC9" w:rsidRDefault="0015725D">
      <w:pPr>
        <w:pStyle w:val="BodyText"/>
        <w:spacing w:before="1"/>
        <w:ind w:left="218" w:right="175"/>
      </w:pPr>
      <w:r>
        <w:t>Kejahatan kehutanan dalam hal ini yang terjadi dipengaruhi oleh beberapa faktor-faktor yang mempengaruhi berkembangnya kejahatan penebangan liar. Menurut Dudley bahwa ada tiga faktor yang menyebabkan maraknya penebangan liar di tingkat lokal dan memungkinkan penebangan liar meluas dengan cepat, yaitu:</w:t>
      </w:r>
    </w:p>
    <w:p w:rsidR="00F40AC9" w:rsidRDefault="0015725D">
      <w:pPr>
        <w:pStyle w:val="ListParagraph"/>
        <w:numPr>
          <w:ilvl w:val="0"/>
          <w:numId w:val="3"/>
        </w:numPr>
        <w:tabs>
          <w:tab w:val="left" w:pos="579"/>
        </w:tabs>
        <w:ind w:right="181"/>
        <w:rPr>
          <w:sz w:val="24"/>
        </w:rPr>
      </w:pPr>
      <w:r>
        <w:rPr>
          <w:sz w:val="24"/>
        </w:rPr>
        <w:t>Faktor-faktor yang berkaitan dengan nilai-nilai masyarakat dan situasi penduduk di desa-desa dekat</w:t>
      </w:r>
      <w:r>
        <w:rPr>
          <w:spacing w:val="-1"/>
          <w:sz w:val="24"/>
        </w:rPr>
        <w:t xml:space="preserve"> </w:t>
      </w:r>
      <w:r>
        <w:rPr>
          <w:sz w:val="24"/>
        </w:rPr>
        <w:t>hutan.</w:t>
      </w:r>
    </w:p>
    <w:p w:rsidR="00F40AC9" w:rsidRDefault="0015725D">
      <w:pPr>
        <w:pStyle w:val="ListParagraph"/>
        <w:numPr>
          <w:ilvl w:val="0"/>
          <w:numId w:val="3"/>
        </w:numPr>
        <w:tabs>
          <w:tab w:val="left" w:pos="579"/>
        </w:tabs>
        <w:spacing w:before="2"/>
        <w:ind w:right="183"/>
        <w:rPr>
          <w:sz w:val="24"/>
        </w:rPr>
      </w:pPr>
      <w:r>
        <w:rPr>
          <w:sz w:val="24"/>
        </w:rPr>
        <w:t>Faktor-faktor ekonomi suplay dan permintaan normal berkaitan dengan industri penebangan</w:t>
      </w:r>
      <w:r>
        <w:rPr>
          <w:spacing w:val="-2"/>
          <w:sz w:val="24"/>
        </w:rPr>
        <w:t xml:space="preserve"> </w:t>
      </w:r>
      <w:r>
        <w:rPr>
          <w:sz w:val="24"/>
        </w:rPr>
        <w:t>kayu.</w:t>
      </w:r>
    </w:p>
    <w:p w:rsidR="00F40AC9" w:rsidRDefault="0015725D">
      <w:pPr>
        <w:pStyle w:val="ListParagraph"/>
        <w:numPr>
          <w:ilvl w:val="0"/>
          <w:numId w:val="3"/>
        </w:numPr>
        <w:tabs>
          <w:tab w:val="left" w:pos="579"/>
        </w:tabs>
        <w:ind w:right="180"/>
        <w:rPr>
          <w:sz w:val="16"/>
        </w:rPr>
      </w:pPr>
      <w:r>
        <w:rPr>
          <w:sz w:val="24"/>
        </w:rPr>
        <w:t>Faktor-faktor yang berkaitan dengan pengusaha dan pengaruhnya pada, serta kolusi dengan para politis dan pemimpin</w:t>
      </w:r>
      <w:r>
        <w:rPr>
          <w:spacing w:val="-4"/>
          <w:sz w:val="24"/>
        </w:rPr>
        <w:t xml:space="preserve"> </w:t>
      </w:r>
      <w:r>
        <w:rPr>
          <w:sz w:val="24"/>
        </w:rPr>
        <w:t>setempat.</w:t>
      </w:r>
      <w:r>
        <w:rPr>
          <w:position w:val="6"/>
          <w:sz w:val="16"/>
        </w:rPr>
        <w:t>5</w:t>
      </w:r>
    </w:p>
    <w:p w:rsidR="00F40AC9" w:rsidRDefault="00F40AC9">
      <w:pPr>
        <w:pStyle w:val="BodyText"/>
        <w:jc w:val="left"/>
      </w:pPr>
    </w:p>
    <w:p w:rsidR="00F40AC9" w:rsidRDefault="0015725D">
      <w:pPr>
        <w:pStyle w:val="BodyText"/>
        <w:ind w:left="218" w:right="177"/>
      </w:pPr>
      <w:r>
        <w:t>Berdasarkan uraian di atas, maka dapat dianalisis bahwa faktor penyebab pelaku melakukan tindak pidana mengangkut, menguasai, atau memiliki hasil hutan kayu yang tidak dilengkapi secara bersama surat keterangan sahnya hasil hutan berdasarkan Putusan Nomor: 259/Pid.Sus/LH/2019/PN Kot adalah faktor ekonomi dan pendidikan, sulitnya memperoleh izin dan kurangnya pengawasan</w:t>
      </w:r>
    </w:p>
    <w:p w:rsidR="00F40AC9" w:rsidRDefault="00F40AC9">
      <w:pPr>
        <w:pStyle w:val="BodyText"/>
        <w:jc w:val="left"/>
      </w:pPr>
    </w:p>
    <w:p w:rsidR="00F40AC9" w:rsidRDefault="0053278E">
      <w:pPr>
        <w:pStyle w:val="Heading2"/>
        <w:numPr>
          <w:ilvl w:val="1"/>
          <w:numId w:val="5"/>
        </w:numPr>
        <w:tabs>
          <w:tab w:val="left" w:pos="579"/>
        </w:tabs>
        <w:ind w:right="176"/>
      </w:pPr>
      <w:r>
        <w:t xml:space="preserve">3.2 </w:t>
      </w:r>
      <w:r w:rsidR="0015725D">
        <w:t>Implementasi Pertanggungjawaban Terhadap Pelaku Tindak Pidana Mengangkut, Menguasai, atau Memiliki Hasil Hutan Kayu yang Tidak</w:t>
      </w:r>
      <w:r w:rsidR="0015725D">
        <w:rPr>
          <w:spacing w:val="52"/>
        </w:rPr>
        <w:t xml:space="preserve"> </w:t>
      </w:r>
      <w:r w:rsidR="0015725D">
        <w:t>Dilengkapi Secara Bersama Surat Keterangan Sahnya Hasil Hutan Berdasarkan Putusan Nomor: 259/Pid.Sus/LH/2019/PN</w:t>
      </w:r>
      <w:r w:rsidR="0015725D">
        <w:rPr>
          <w:spacing w:val="-2"/>
        </w:rPr>
        <w:t xml:space="preserve"> </w:t>
      </w:r>
      <w:r w:rsidR="0015725D">
        <w:t>Kot.</w:t>
      </w:r>
    </w:p>
    <w:p w:rsidR="00F40AC9" w:rsidRDefault="00F40AC9">
      <w:pPr>
        <w:pStyle w:val="BodyText"/>
        <w:jc w:val="left"/>
        <w:rPr>
          <w:b/>
        </w:rPr>
      </w:pPr>
    </w:p>
    <w:p w:rsidR="00F40AC9" w:rsidRDefault="0015725D">
      <w:pPr>
        <w:pStyle w:val="BodyText"/>
        <w:ind w:left="218" w:right="175"/>
      </w:pPr>
      <w:r>
        <w:t xml:space="preserve">Berdasarkan hukum pidana konsep “pertanggungjawaban pidana” merupakan konsep sentral yang dikenal dengan ajaran kesalahan. Dalam bahasa latin ajaran kesalahan dikenal dengan sebutan </w:t>
      </w:r>
      <w:r>
        <w:rPr>
          <w:i/>
        </w:rPr>
        <w:t xml:space="preserve">mens rea. </w:t>
      </w:r>
      <w:r>
        <w:t xml:space="preserve">Doktrin </w:t>
      </w:r>
      <w:r>
        <w:rPr>
          <w:i/>
        </w:rPr>
        <w:t xml:space="preserve">mens rea </w:t>
      </w:r>
      <w:r>
        <w:t>dilandaskan pada suatu perbuatan tidak mengakibatkan seseorang bersalah kecuali jika pikiran orang itu jahat.</w:t>
      </w:r>
      <w:r>
        <w:rPr>
          <w:spacing w:val="52"/>
        </w:rPr>
        <w:t xml:space="preserve"> </w:t>
      </w:r>
      <w:r>
        <w:t>Berdasarkan</w:t>
      </w:r>
      <w:r>
        <w:rPr>
          <w:spacing w:val="19"/>
        </w:rPr>
        <w:t xml:space="preserve"> </w:t>
      </w:r>
      <w:r>
        <w:t>asas</w:t>
      </w:r>
      <w:r>
        <w:rPr>
          <w:spacing w:val="19"/>
        </w:rPr>
        <w:t xml:space="preserve"> </w:t>
      </w:r>
      <w:r>
        <w:t>tersebut,</w:t>
      </w:r>
      <w:r>
        <w:rPr>
          <w:spacing w:val="20"/>
        </w:rPr>
        <w:t xml:space="preserve"> </w:t>
      </w:r>
      <w:r>
        <w:t>ada</w:t>
      </w:r>
      <w:r>
        <w:rPr>
          <w:spacing w:val="20"/>
        </w:rPr>
        <w:t xml:space="preserve"> </w:t>
      </w:r>
      <w:r>
        <w:t>dua</w:t>
      </w:r>
      <w:r>
        <w:rPr>
          <w:spacing w:val="19"/>
        </w:rPr>
        <w:t xml:space="preserve"> </w:t>
      </w:r>
      <w:r>
        <w:t>syarat</w:t>
      </w:r>
      <w:r>
        <w:rPr>
          <w:spacing w:val="20"/>
        </w:rPr>
        <w:t xml:space="preserve"> </w:t>
      </w:r>
      <w:r>
        <w:t>yang</w:t>
      </w:r>
      <w:r>
        <w:rPr>
          <w:spacing w:val="18"/>
        </w:rPr>
        <w:t xml:space="preserve"> </w:t>
      </w:r>
      <w:r>
        <w:t>harus</w:t>
      </w:r>
      <w:r>
        <w:rPr>
          <w:spacing w:val="19"/>
        </w:rPr>
        <w:t xml:space="preserve"> </w:t>
      </w:r>
      <w:r>
        <w:t>dipenuhi</w:t>
      </w:r>
      <w:r>
        <w:rPr>
          <w:spacing w:val="20"/>
        </w:rPr>
        <w:t xml:space="preserve"> </w:t>
      </w:r>
      <w:r>
        <w:t>untuk</w:t>
      </w:r>
      <w:r>
        <w:rPr>
          <w:spacing w:val="18"/>
        </w:rPr>
        <w:t xml:space="preserve"> </w:t>
      </w:r>
      <w:r>
        <w:t>dapat</w:t>
      </w:r>
      <w:r>
        <w:rPr>
          <w:spacing w:val="20"/>
        </w:rPr>
        <w:t xml:space="preserve"> </w:t>
      </w:r>
      <w:r>
        <w:t>memidana</w:t>
      </w:r>
    </w:p>
    <w:p w:rsidR="00F40AC9" w:rsidRDefault="00F40AC9">
      <w:pPr>
        <w:pStyle w:val="BodyText"/>
        <w:jc w:val="left"/>
        <w:rPr>
          <w:sz w:val="20"/>
        </w:rPr>
      </w:pPr>
    </w:p>
    <w:p w:rsidR="00F40AC9" w:rsidRDefault="00F40AC9">
      <w:pPr>
        <w:pStyle w:val="BodyText"/>
        <w:jc w:val="left"/>
        <w:rPr>
          <w:sz w:val="20"/>
        </w:rPr>
      </w:pPr>
    </w:p>
    <w:p w:rsidR="00F40AC9" w:rsidRDefault="00F40AC9">
      <w:pPr>
        <w:pStyle w:val="BodyText"/>
        <w:jc w:val="left"/>
        <w:rPr>
          <w:sz w:val="20"/>
        </w:rPr>
      </w:pPr>
    </w:p>
    <w:p w:rsidR="00F40AC9" w:rsidRDefault="00A71183">
      <w:pPr>
        <w:pStyle w:val="BodyText"/>
        <w:spacing w:before="7"/>
        <w:jc w:val="left"/>
        <w:rPr>
          <w:sz w:val="11"/>
        </w:rPr>
      </w:pPr>
      <w:r w:rsidRPr="00A71183">
        <w:pict>
          <v:rect id="_x0000_s2051" style="position:absolute;margin-left:68.9pt;margin-top:8.8pt;width:2in;height:.6pt;z-index:-15727616;mso-wrap-distance-left:0;mso-wrap-distance-right:0;mso-position-horizontal-relative:page" fillcolor="black" stroked="f">
            <w10:wrap type="topAndBottom" anchorx="page"/>
          </v:rect>
        </w:pict>
      </w:r>
    </w:p>
    <w:p w:rsidR="00F40AC9" w:rsidRDefault="0015725D">
      <w:pPr>
        <w:spacing w:before="64"/>
        <w:ind w:left="784"/>
        <w:rPr>
          <w:sz w:val="20"/>
        </w:rPr>
      </w:pPr>
      <w:r>
        <w:rPr>
          <w:position w:val="5"/>
          <w:sz w:val="13"/>
        </w:rPr>
        <w:t xml:space="preserve">5 </w:t>
      </w:r>
      <w:r>
        <w:rPr>
          <w:sz w:val="20"/>
        </w:rPr>
        <w:t xml:space="preserve">Sukardi. 2005. </w:t>
      </w:r>
      <w:r>
        <w:rPr>
          <w:i/>
          <w:sz w:val="20"/>
        </w:rPr>
        <w:t>Op. Cit</w:t>
      </w:r>
      <w:r>
        <w:rPr>
          <w:sz w:val="20"/>
        </w:rPr>
        <w:t>, hlm. 74.</w:t>
      </w:r>
    </w:p>
    <w:p w:rsidR="00F40AC9" w:rsidRDefault="00F40AC9">
      <w:pPr>
        <w:rPr>
          <w:sz w:val="20"/>
        </w:rPr>
        <w:sectPr w:rsidR="00F40AC9">
          <w:pgSz w:w="11910" w:h="16840"/>
          <w:pgMar w:top="1460" w:right="1200" w:bottom="960" w:left="1160" w:header="0" w:footer="740" w:gutter="0"/>
          <w:cols w:space="720"/>
        </w:sectPr>
      </w:pPr>
    </w:p>
    <w:p w:rsidR="00F40AC9" w:rsidRDefault="0015725D">
      <w:pPr>
        <w:pStyle w:val="BodyText"/>
        <w:spacing w:before="82"/>
        <w:ind w:left="218" w:right="172"/>
        <w:rPr>
          <w:sz w:val="16"/>
        </w:rPr>
      </w:pPr>
      <w:r>
        <w:lastRenderedPageBreak/>
        <w:t xml:space="preserve">seseoang, yaitu ada perbuatan lahiriah yang terlarang/perbuatan pidana </w:t>
      </w:r>
      <w:r>
        <w:rPr>
          <w:i/>
        </w:rPr>
        <w:t xml:space="preserve">(actus reus) </w:t>
      </w:r>
      <w:r>
        <w:t xml:space="preserve">dan sikap batin jahat/tercela </w:t>
      </w:r>
      <w:r>
        <w:rPr>
          <w:i/>
        </w:rPr>
        <w:t>(mens rea)</w:t>
      </w:r>
      <w:r>
        <w:t>.</w:t>
      </w:r>
      <w:r>
        <w:rPr>
          <w:position w:val="6"/>
          <w:sz w:val="16"/>
        </w:rPr>
        <w:t>6</w:t>
      </w:r>
    </w:p>
    <w:p w:rsidR="00F40AC9" w:rsidRDefault="00F40AC9">
      <w:pPr>
        <w:pStyle w:val="BodyText"/>
        <w:jc w:val="left"/>
      </w:pPr>
    </w:p>
    <w:p w:rsidR="00F40AC9" w:rsidRDefault="0015725D">
      <w:pPr>
        <w:pStyle w:val="BodyText"/>
        <w:spacing w:before="1"/>
        <w:ind w:left="218" w:right="178"/>
        <w:rPr>
          <w:sz w:val="16"/>
        </w:rPr>
      </w:pPr>
      <w:r>
        <w:t>Menurut Barda Nawawi Arief, untuk adanya pertanggungjawaban pidana harus jelas dahulu siapa yang dapat dipertanggungjawabkan, artinya harus dipastikan dahulu siapa yang dinyatakan sebagai pelaku suatu tindak pidana tertentu. Masalah ini menyangkut masalah subyek tindak pidana yang pada umumnya sudah dirumuskan oleh pembuat undang-undang untuk pidana yang bersangkutan. Setelah pelaku ditentukan, selanjutnya bagaimana mengenai pertanggungjawaban pidananya.</w:t>
      </w:r>
      <w:r>
        <w:rPr>
          <w:position w:val="6"/>
          <w:sz w:val="16"/>
        </w:rPr>
        <w:t>7</w:t>
      </w:r>
    </w:p>
    <w:p w:rsidR="00F40AC9" w:rsidRDefault="00F40AC9">
      <w:pPr>
        <w:pStyle w:val="BodyText"/>
        <w:spacing w:before="10"/>
        <w:jc w:val="left"/>
        <w:rPr>
          <w:sz w:val="23"/>
        </w:rPr>
      </w:pPr>
    </w:p>
    <w:p w:rsidR="00F40AC9" w:rsidRDefault="0015725D">
      <w:pPr>
        <w:pStyle w:val="BodyText"/>
        <w:ind w:left="218" w:right="173"/>
      </w:pPr>
      <w:r>
        <w:t xml:space="preserve">Hasil wawancara dengan Edi Qorinas selaku Penyidik Polres Tanggamus menyatakan bahwa pertanggungjawaban pidana terhadap orang perseorangan </w:t>
      </w:r>
      <w:r>
        <w:rPr>
          <w:i/>
        </w:rPr>
        <w:t xml:space="preserve">(natuurlijke person) </w:t>
      </w:r>
      <w:r>
        <w:t>yang melakukan Tindak Pidana Pengangkutan kayu hasil hutan tanpa memliki surat keterangan sahnya hasil hutan. Di dalam Undang-undang Nomor 18 Tahun 2013 dalam ketentuan pidananya telah menentukan pertanggungjawaban individu sesuai dengan sikap tindak pelaku apakah dengan sengaja atau karena kelalaiannya dan memiliki hukuman yang berbeda, berbeda dengan Undang-Undang Nomor 41 Tahun 1999 yang hanya menentukan sikap tindak yang sengaja dalam pertanggungjawabannya.</w:t>
      </w:r>
    </w:p>
    <w:p w:rsidR="00F40AC9" w:rsidRDefault="00F40AC9">
      <w:pPr>
        <w:pStyle w:val="BodyText"/>
        <w:jc w:val="left"/>
        <w:rPr>
          <w:sz w:val="28"/>
        </w:rPr>
      </w:pPr>
    </w:p>
    <w:p w:rsidR="00F40AC9" w:rsidRDefault="0015725D">
      <w:pPr>
        <w:pStyle w:val="BodyText"/>
        <w:spacing w:before="238"/>
        <w:ind w:left="218" w:right="176"/>
      </w:pPr>
      <w:r>
        <w:t>Hasil wawancara dengan Rustam Efendi selaku Staf Dinas Kehutanan Provinsi Lampung menyatakan bahwa pada kasus ini terdakwa dalam melakukan perbuatan tindak pidana yang dilakukanya merupakan hal yang secara sah dan meyakinkan suatu perbuatan yang melanggar hukum dan harus mempertanggungjawabkan perbuatan yang telah dilakukannya. Hal ini dapat dilihat dari maksud si terdakwa untuk melakukan pengangkutan kayu hasil hutan tetapi terdakwa tidak melengkapi dokumen yang merupakan surat keterangan sahnya hasil hutan.</w:t>
      </w:r>
    </w:p>
    <w:p w:rsidR="00F40AC9" w:rsidRDefault="00F40AC9">
      <w:pPr>
        <w:pStyle w:val="BodyText"/>
        <w:spacing w:before="1"/>
        <w:jc w:val="left"/>
      </w:pPr>
    </w:p>
    <w:p w:rsidR="00F40AC9" w:rsidRDefault="0015725D">
      <w:pPr>
        <w:pStyle w:val="BodyText"/>
        <w:ind w:left="218" w:right="172"/>
      </w:pPr>
      <w:r>
        <w:t>Hasil wawancara dengan I Kadek Dwi Ariatmaja selaku Jaksa Kejaksaan Negeri Kota Agung menyatakan bahwa dalam Undang-Undang Nomor 18 Tahun 2013 tentang Pencegahan dan Pemberantasan Perusakan Hutan disebutkan di dalam Pasal 16 menyatakan bahwa setiap orang yang melakukan pengangkutan kayu hasil hutan wajib memiliki dokumen yang merupakan surat keterangan sahnya hasil hutan. Dapat disimpulkan jadi perbuatan yang dilakukan terdakwa tidak ada alasan pembenar dari yang telah dilakukannya. Begitu juga dengan alasan pemaaf tidak ada unsur alasan pemaaf dari perbuatan siterdakwa agar terlepas maupun bebas dari hukumannya. Hal yang perlu diperhatikan dalam Putusan Majelis Hakim Pengadilan Negeri Kota Agung adalah penentuan pidana denda terhadap terdakwa. Bahwa pidana denda yang dijatuhkan kepada terdakwa merupakan sebuah keadilan mengingat kondisi terdakwa yang berterus terang atas perbuatannya selama persidangan.</w:t>
      </w:r>
    </w:p>
    <w:p w:rsidR="00F40AC9" w:rsidRDefault="00F40AC9">
      <w:pPr>
        <w:pStyle w:val="BodyText"/>
        <w:spacing w:before="2"/>
        <w:jc w:val="left"/>
      </w:pPr>
    </w:p>
    <w:p w:rsidR="00F40AC9" w:rsidRDefault="0015725D">
      <w:pPr>
        <w:pStyle w:val="BodyText"/>
        <w:ind w:left="218" w:right="175"/>
      </w:pPr>
      <w:r>
        <w:t>Hasil wawancara dengan selaku Ratriningsih Ariani selaku Hakim Pengadilan Negeri Kota Agung menyatakan bahwa kesengajaan secara keinsyafan kepastian terdapat dalam perkara ini yang dapat dilihat bahwa Terdakwa menyadari perbuatan yang</w:t>
      </w:r>
      <w:r>
        <w:rPr>
          <w:spacing w:val="2"/>
        </w:rPr>
        <w:t xml:space="preserve"> </w:t>
      </w:r>
      <w:r>
        <w:t>dilakukannya</w:t>
      </w:r>
    </w:p>
    <w:p w:rsidR="00F40AC9" w:rsidRDefault="00A71183">
      <w:pPr>
        <w:pStyle w:val="BodyText"/>
        <w:spacing w:before="7"/>
        <w:jc w:val="left"/>
        <w:rPr>
          <w:sz w:val="15"/>
        </w:rPr>
      </w:pPr>
      <w:r w:rsidRPr="00A71183">
        <w:pict>
          <v:rect id="_x0000_s2050" style="position:absolute;margin-left:68.9pt;margin-top:11.1pt;width:2in;height:.6pt;z-index:-15727104;mso-wrap-distance-left:0;mso-wrap-distance-right:0;mso-position-horizontal-relative:page" fillcolor="black" stroked="f">
            <w10:wrap type="topAndBottom" anchorx="page"/>
          </v:rect>
        </w:pict>
      </w:r>
    </w:p>
    <w:p w:rsidR="00F40AC9" w:rsidRDefault="0015725D">
      <w:pPr>
        <w:spacing w:before="62"/>
        <w:ind w:left="784"/>
        <w:jc w:val="both"/>
        <w:rPr>
          <w:sz w:val="20"/>
        </w:rPr>
      </w:pPr>
      <w:r>
        <w:rPr>
          <w:position w:val="5"/>
          <w:sz w:val="13"/>
        </w:rPr>
        <w:t xml:space="preserve">6 </w:t>
      </w:r>
      <w:r>
        <w:rPr>
          <w:sz w:val="20"/>
        </w:rPr>
        <w:t xml:space="preserve">Mahrus Ali. 2009. </w:t>
      </w:r>
      <w:r>
        <w:rPr>
          <w:i/>
          <w:sz w:val="20"/>
        </w:rPr>
        <w:t>Dasar-Dasar Hukum Pidana</w:t>
      </w:r>
      <w:r>
        <w:rPr>
          <w:sz w:val="20"/>
        </w:rPr>
        <w:t>. Sinar Grafika. Jakarta, hlm.156.</w:t>
      </w:r>
    </w:p>
    <w:p w:rsidR="00F40AC9" w:rsidRDefault="0015725D">
      <w:pPr>
        <w:spacing w:before="1"/>
        <w:ind w:left="218" w:right="174" w:firstLine="566"/>
        <w:jc w:val="both"/>
        <w:rPr>
          <w:sz w:val="20"/>
        </w:rPr>
      </w:pPr>
      <w:r>
        <w:rPr>
          <w:position w:val="5"/>
          <w:sz w:val="13"/>
        </w:rPr>
        <w:t xml:space="preserve">7 </w:t>
      </w:r>
      <w:r>
        <w:rPr>
          <w:sz w:val="20"/>
        </w:rPr>
        <w:t xml:space="preserve">Alvi Syahrin Dkk. 2015. </w:t>
      </w:r>
      <w:r>
        <w:rPr>
          <w:i/>
          <w:sz w:val="20"/>
        </w:rPr>
        <w:t xml:space="preserve">Pertanggungjawaban pidana Illegal Loging (pembalakn Liar) sebagai kejahatan kehutanan berdasarkan Undang-Undang No.41 Tahun 1999 tentang Kehutanan dan Undang- Undang No. 18 Tahun 2013 tentang Pencegahan dan Pemberantasan Peruskan Hutan </w:t>
      </w:r>
      <w:r>
        <w:rPr>
          <w:sz w:val="20"/>
        </w:rPr>
        <w:t>, USU Law Journal Vol.3.No.2, Agustus 2015, hlm. 110</w:t>
      </w:r>
    </w:p>
    <w:p w:rsidR="00F40AC9" w:rsidRDefault="00F40AC9">
      <w:pPr>
        <w:jc w:val="both"/>
        <w:rPr>
          <w:sz w:val="20"/>
        </w:rPr>
        <w:sectPr w:rsidR="00F40AC9">
          <w:pgSz w:w="11910" w:h="16840"/>
          <w:pgMar w:top="1460" w:right="1200" w:bottom="960" w:left="1160" w:header="0" w:footer="740" w:gutter="0"/>
          <w:cols w:space="720"/>
        </w:sectPr>
      </w:pPr>
    </w:p>
    <w:p w:rsidR="00F40AC9" w:rsidRDefault="0015725D">
      <w:pPr>
        <w:pStyle w:val="BodyText"/>
        <w:spacing w:before="82"/>
        <w:ind w:left="218" w:right="173"/>
      </w:pPr>
      <w:r>
        <w:lastRenderedPageBreak/>
        <w:t>tersebut merupakan sebuah kesalahan namun tetap dilaksanakan oleh Terdakwa. Terdakwa sadar bahwa dengan dilakukannya perbuatan tersebut, sanksi akan mengikuti perbuatan tersebut yang merupakan sebuah kesalahan. Putusan majelis</w:t>
      </w:r>
      <w:r>
        <w:rPr>
          <w:spacing w:val="52"/>
        </w:rPr>
        <w:t xml:space="preserve"> </w:t>
      </w:r>
      <w:r>
        <w:t>hakim  juga tidak memiliki unsur alasan pemaaf walaupun lebih ringan dari yang dituntut. Alasannya adalah perbuatan yang dilakukan oleh terdakwa merupakan perbuatan melawan hukum dan mempunyai unsur kesalahan. Dengan adanya kesalahan tersebut maka terdakwa tetap dijatuhi</w:t>
      </w:r>
      <w:r>
        <w:rPr>
          <w:spacing w:val="-2"/>
        </w:rPr>
        <w:t xml:space="preserve"> </w:t>
      </w:r>
      <w:r>
        <w:t>pidana.</w:t>
      </w:r>
    </w:p>
    <w:p w:rsidR="00F40AC9" w:rsidRDefault="00F40AC9">
      <w:pPr>
        <w:pStyle w:val="BodyText"/>
        <w:jc w:val="left"/>
      </w:pPr>
    </w:p>
    <w:p w:rsidR="00F40AC9" w:rsidRDefault="0015725D">
      <w:pPr>
        <w:pStyle w:val="BodyText"/>
        <w:spacing w:before="1"/>
        <w:ind w:left="218" w:right="175"/>
      </w:pPr>
      <w:r>
        <w:t>Keputusan atau kesimpulan Hakim dalam menyatakan bahwa terdakwa atas nama Muhardi terbukti secara sah danmeyakinkan bersalah melakukan tindak pidana “ Dengan sengaja melakukan pengangkutan kayu hasil hutan tanpa memiliki dokumen yang merupakan surat keterangan sahnya hasil hutan”, sebagaimana dalam Dakwaan alternatif pertama penuntut umum , yakni Pasal 88 ayat (1) huruf a Undang-undang RI No. 18 Tahun 2013 tentang Pencegahan dan Pemberantasan Kerusakan Hutan. Putusan yang dijatuhkan Majelis Hakim yakni pidan penjara selama 1(satu) tahun 1(satu) bulan dan pidana denda sejumlah Rp.500.000.000,- (lima ratus juta rupiah) dengan ketentuan apabila denda tidak dibayar harus diganti dengan pidana penjara selama 1(satu) bulan, telah memenuhi rasa keadilan hukum terhadap Terdakwa sekaligus memberikan efek jera dan keadilan bagi masyarakat sebagai preventif agar masyarakat tidak melakukan hal yang</w:t>
      </w:r>
      <w:r>
        <w:rPr>
          <w:spacing w:val="-2"/>
        </w:rPr>
        <w:t xml:space="preserve"> </w:t>
      </w:r>
      <w:r>
        <w:t>sama.</w:t>
      </w:r>
    </w:p>
    <w:p w:rsidR="00F40AC9" w:rsidRDefault="00F40AC9">
      <w:pPr>
        <w:pStyle w:val="BodyText"/>
        <w:spacing w:before="1"/>
        <w:jc w:val="left"/>
      </w:pPr>
    </w:p>
    <w:p w:rsidR="00F40AC9" w:rsidRDefault="0015725D">
      <w:pPr>
        <w:pStyle w:val="BodyText"/>
        <w:ind w:left="218" w:right="172"/>
      </w:pPr>
      <w:r>
        <w:t>Berdasarkan uraian di atas, maka dapat dianalisis bahwa implementasi pertanggungjawaban terhadap pelaku tindak pidana mengangkut, menguasai, atau memiliki hasil hutan kayu yang tidak dilengkapi secara bersama surat keterangan sahnya hasil hutan berdasarkan Putusan Nomor: 259/Pid.Sus/LH/2019/PN Kot adalah dengan pidana penjara selama 1 (satu) tahun 1 (satu) bulan dan pidana denda sebesar Rp500.000.000,00 (lima ratus juta rupiah) dengan ketentuan apabila denda tersebut tidak dibayar maka diganti dengan pidana penjara selama 1 (satu) bulan.</w:t>
      </w:r>
    </w:p>
    <w:p w:rsidR="00F40AC9" w:rsidRDefault="00F40AC9">
      <w:pPr>
        <w:pStyle w:val="BodyText"/>
        <w:jc w:val="left"/>
        <w:rPr>
          <w:sz w:val="28"/>
        </w:rPr>
      </w:pPr>
    </w:p>
    <w:p w:rsidR="00F40AC9" w:rsidRDefault="0015725D">
      <w:pPr>
        <w:pStyle w:val="Heading2"/>
        <w:spacing w:before="235" w:line="281" w:lineRule="exact"/>
        <w:ind w:left="218" w:firstLine="0"/>
      </w:pPr>
      <w:r>
        <w:t>4. Penutup</w:t>
      </w:r>
    </w:p>
    <w:p w:rsidR="00F40AC9" w:rsidRDefault="0015725D">
      <w:pPr>
        <w:pStyle w:val="BodyText"/>
        <w:spacing w:line="281" w:lineRule="exact"/>
        <w:ind w:left="218"/>
      </w:pPr>
      <w:r>
        <w:t>Berdasarkan hasil penelitian dan pembahasan, maka dapat disimpulkan bahwa:</w:t>
      </w:r>
    </w:p>
    <w:p w:rsidR="00F40AC9" w:rsidRDefault="0015725D">
      <w:pPr>
        <w:pStyle w:val="ListParagraph"/>
        <w:numPr>
          <w:ilvl w:val="0"/>
          <w:numId w:val="2"/>
        </w:numPr>
        <w:tabs>
          <w:tab w:val="left" w:pos="579"/>
        </w:tabs>
        <w:spacing w:before="2"/>
        <w:ind w:right="172"/>
        <w:rPr>
          <w:sz w:val="24"/>
        </w:rPr>
      </w:pPr>
      <w:r>
        <w:rPr>
          <w:sz w:val="24"/>
        </w:rPr>
        <w:t>Faktor penyebab pelaku melakukan tindak pidana mengangkut, menguasai, atau memiliki hasil hutan kayu yang tidak dilengkapi secara bersama surat keterangan sahnya hasil hutan berdasarkan Putusan Nomor: 259/Pid.Sus/LH/2019/PN Kot adalah faktor ekonomi dan pendidikan, sulitnya memperoleh izin dan kurangnya pengawasan.</w:t>
      </w:r>
    </w:p>
    <w:p w:rsidR="00F40AC9" w:rsidRDefault="0015725D">
      <w:pPr>
        <w:pStyle w:val="ListParagraph"/>
        <w:numPr>
          <w:ilvl w:val="0"/>
          <w:numId w:val="2"/>
        </w:numPr>
        <w:tabs>
          <w:tab w:val="left" w:pos="579"/>
        </w:tabs>
        <w:spacing w:before="1"/>
        <w:ind w:right="178"/>
        <w:rPr>
          <w:sz w:val="24"/>
        </w:rPr>
      </w:pPr>
      <w:r>
        <w:rPr>
          <w:sz w:val="24"/>
        </w:rPr>
        <w:t>Implementasi pertanggungjawaban terhadap pelaku tindak pidana mengangkut, menguasai, atau memiliki hasil hutan kayu yang tidak dilengkapi secara bersama surat keterangan sahnya hasil hutan berdasarkan Putusan Nomor: 259/Pid.Sus/LH/2019/PN Kot adalah dengan pidana penjara selama 1 (satu) tahun 1 (satu) bulan dan pidana denda sebesar Rp500.000.000,00 (lima ratus juta rupiah) dengan ketentuan apabila denda tersebut tidak dibayar maka diganti dengan pidana penjara selama 1 (satu)</w:t>
      </w:r>
      <w:r>
        <w:rPr>
          <w:spacing w:val="-7"/>
          <w:sz w:val="24"/>
        </w:rPr>
        <w:t xml:space="preserve"> </w:t>
      </w:r>
      <w:r>
        <w:rPr>
          <w:sz w:val="24"/>
        </w:rPr>
        <w:t>bulan.</w:t>
      </w:r>
    </w:p>
    <w:p w:rsidR="00F40AC9" w:rsidRDefault="00F40AC9">
      <w:pPr>
        <w:pStyle w:val="BodyText"/>
        <w:spacing w:before="1"/>
        <w:jc w:val="left"/>
      </w:pPr>
    </w:p>
    <w:p w:rsidR="00F40AC9" w:rsidRDefault="0015725D">
      <w:pPr>
        <w:pStyle w:val="BodyText"/>
        <w:ind w:left="218"/>
      </w:pPr>
      <w:r>
        <w:t>Berdasarkan simpulan di atas, maka dapat diberikan beberapa saran antara lain:</w:t>
      </w:r>
    </w:p>
    <w:p w:rsidR="00F40AC9" w:rsidRDefault="0015725D">
      <w:pPr>
        <w:pStyle w:val="ListParagraph"/>
        <w:numPr>
          <w:ilvl w:val="0"/>
          <w:numId w:val="1"/>
        </w:numPr>
        <w:tabs>
          <w:tab w:val="left" w:pos="579"/>
        </w:tabs>
        <w:ind w:right="177"/>
        <w:rPr>
          <w:sz w:val="24"/>
        </w:rPr>
      </w:pPr>
      <w:r>
        <w:rPr>
          <w:sz w:val="24"/>
        </w:rPr>
        <w:t>Bagi Instansi yang terkait dengan kehutanan diharapkan adanya pengembangan pengaturan dalam peraturan Menteri Kehutanan Republik Indonesia Nomor P.43/MenLHK/Setjen/2015 Tentang Penatausahaan Hasil Hutan Kayu Yang</w:t>
      </w:r>
      <w:r>
        <w:rPr>
          <w:spacing w:val="22"/>
          <w:sz w:val="24"/>
        </w:rPr>
        <w:t xml:space="preserve"> </w:t>
      </w:r>
      <w:r>
        <w:rPr>
          <w:sz w:val="24"/>
        </w:rPr>
        <w:t>Berasal</w:t>
      </w:r>
    </w:p>
    <w:p w:rsidR="00F40AC9" w:rsidRDefault="00F40AC9">
      <w:pPr>
        <w:jc w:val="both"/>
        <w:rPr>
          <w:sz w:val="24"/>
        </w:rPr>
        <w:sectPr w:rsidR="00F40AC9">
          <w:pgSz w:w="11910" w:h="16840"/>
          <w:pgMar w:top="1460" w:right="1200" w:bottom="960" w:left="1160" w:header="0" w:footer="740" w:gutter="0"/>
          <w:cols w:space="720"/>
        </w:sectPr>
      </w:pPr>
    </w:p>
    <w:p w:rsidR="00F40AC9" w:rsidRDefault="0015725D">
      <w:pPr>
        <w:pStyle w:val="BodyText"/>
        <w:spacing w:before="82"/>
        <w:ind w:left="578" w:right="177"/>
      </w:pPr>
      <w:r>
        <w:lastRenderedPageBreak/>
        <w:t>Dari Hutan Alam. Serta perbaikan terhadap pengaturan tentang tindak pidana perusakan hutan dalam Undang-Undang Republik Indonesia Nomor 18 Tahun 2013 Tentang Pencegahan dan Pemberantasan Perusakan Hutan agar tidak dapat memberikan celah-celah hukum bagi para pelaku tindak pidana perusakan hutan.</w:t>
      </w:r>
    </w:p>
    <w:p w:rsidR="00F40AC9" w:rsidRDefault="0015725D">
      <w:pPr>
        <w:pStyle w:val="ListParagraph"/>
        <w:numPr>
          <w:ilvl w:val="0"/>
          <w:numId w:val="1"/>
        </w:numPr>
        <w:tabs>
          <w:tab w:val="left" w:pos="579"/>
        </w:tabs>
        <w:ind w:right="176"/>
        <w:rPr>
          <w:sz w:val="24"/>
        </w:rPr>
      </w:pPr>
      <w:r>
        <w:rPr>
          <w:sz w:val="24"/>
        </w:rPr>
        <w:t>Diharapkan kepada penegak hukum diharapkan adanya perbaikan penjatuhan hukuman kepada pelaku tindak pidana perusakan hutan harus dilakukan dengan tegas dan setimpal dengan perbuatan yang mereka lakukan. ketentuan pidana kepada pihak-pihak yang telah melakukan perbuatan pidana, baik perorangan, badan usaha, korporasi, kejahatan, yang teleh terstruktur harus mempunyai aturan yang jelas sehingga meraka yang melakukan tindak pidana tidak dapat mengelak</w:t>
      </w:r>
      <w:r>
        <w:rPr>
          <w:spacing w:val="-11"/>
          <w:sz w:val="24"/>
        </w:rPr>
        <w:t xml:space="preserve"> </w:t>
      </w:r>
      <w:r>
        <w:rPr>
          <w:sz w:val="24"/>
        </w:rPr>
        <w:t>lagi.</w:t>
      </w:r>
    </w:p>
    <w:p w:rsidR="00F40AC9" w:rsidRDefault="00F40AC9">
      <w:pPr>
        <w:pStyle w:val="BodyText"/>
        <w:spacing w:before="2"/>
        <w:jc w:val="left"/>
      </w:pPr>
    </w:p>
    <w:p w:rsidR="00F40AC9" w:rsidRDefault="0015725D">
      <w:pPr>
        <w:pStyle w:val="Heading2"/>
        <w:ind w:left="218" w:firstLine="0"/>
      </w:pPr>
      <w:r>
        <w:t>Daftar Pustaka</w:t>
      </w:r>
    </w:p>
    <w:p w:rsidR="00F40AC9" w:rsidRDefault="00F40AC9">
      <w:pPr>
        <w:pStyle w:val="BodyText"/>
        <w:spacing w:before="11"/>
        <w:jc w:val="left"/>
        <w:rPr>
          <w:b/>
          <w:sz w:val="23"/>
        </w:rPr>
      </w:pPr>
    </w:p>
    <w:p w:rsidR="00F40AC9" w:rsidRDefault="0015725D">
      <w:pPr>
        <w:ind w:left="784" w:right="175" w:hanging="567"/>
        <w:jc w:val="both"/>
        <w:rPr>
          <w:sz w:val="24"/>
        </w:rPr>
      </w:pPr>
      <w:r>
        <w:rPr>
          <w:sz w:val="24"/>
        </w:rPr>
        <w:t xml:space="preserve">Alvi Syahrin Dkk. 2015. </w:t>
      </w:r>
      <w:r>
        <w:rPr>
          <w:i/>
          <w:sz w:val="24"/>
        </w:rPr>
        <w:t xml:space="preserve">Pertanggungjawaban pidana Illegal Loging (pembalakn Liar) sebagai kejahatan kehutanan berdasarkan Undang-Undang No.41 Tahun 1999 tentang Kehutanan dan Undang-Undang No. 18 Tahun 2013 tentang Pencegahan dan Pemberantasan Peruskan Hutan </w:t>
      </w:r>
      <w:r>
        <w:rPr>
          <w:sz w:val="24"/>
        </w:rPr>
        <w:t>, USU Law Journal Vol.3.No.2, Agustus 2015, hlm. 110</w:t>
      </w:r>
    </w:p>
    <w:p w:rsidR="00F40AC9" w:rsidRDefault="0015725D">
      <w:pPr>
        <w:ind w:left="784" w:right="172" w:hanging="567"/>
        <w:jc w:val="both"/>
        <w:rPr>
          <w:sz w:val="24"/>
        </w:rPr>
      </w:pPr>
      <w:r>
        <w:rPr>
          <w:sz w:val="24"/>
        </w:rPr>
        <w:t xml:space="preserve">Barda Nawawi Arif. 2003. </w:t>
      </w:r>
      <w:r>
        <w:rPr>
          <w:i/>
          <w:sz w:val="24"/>
        </w:rPr>
        <w:t xml:space="preserve">Bunga Rampai Kebijakan Hukum Pidana. </w:t>
      </w:r>
      <w:r>
        <w:rPr>
          <w:sz w:val="24"/>
        </w:rPr>
        <w:t>Citra Aditya Bakti, Bandung,</w:t>
      </w:r>
    </w:p>
    <w:p w:rsidR="00F40AC9" w:rsidRDefault="0015725D">
      <w:pPr>
        <w:spacing w:before="1" w:line="281" w:lineRule="exact"/>
        <w:ind w:left="218"/>
        <w:jc w:val="both"/>
        <w:rPr>
          <w:sz w:val="24"/>
        </w:rPr>
      </w:pPr>
      <w:r>
        <w:rPr>
          <w:sz w:val="24"/>
        </w:rPr>
        <w:t xml:space="preserve">Mahrus Ali. 2009. </w:t>
      </w:r>
      <w:r>
        <w:rPr>
          <w:i/>
          <w:sz w:val="24"/>
        </w:rPr>
        <w:t>Dasar-Dasar Hukum Pidana</w:t>
      </w:r>
      <w:r>
        <w:rPr>
          <w:sz w:val="24"/>
        </w:rPr>
        <w:t>. Sinar Grafika. Jakarta.</w:t>
      </w:r>
    </w:p>
    <w:p w:rsidR="00F40AC9" w:rsidRDefault="0015725D">
      <w:pPr>
        <w:ind w:left="218" w:right="557"/>
        <w:jc w:val="both"/>
        <w:rPr>
          <w:sz w:val="24"/>
        </w:rPr>
      </w:pPr>
      <w:r>
        <w:rPr>
          <w:sz w:val="24"/>
        </w:rPr>
        <w:t xml:space="preserve">Muladi dan Barda Nawawi. 1992. </w:t>
      </w:r>
      <w:r>
        <w:rPr>
          <w:i/>
          <w:sz w:val="24"/>
        </w:rPr>
        <w:t xml:space="preserve">Teori-teori dan Kebijakan Pidana. </w:t>
      </w:r>
      <w:r>
        <w:rPr>
          <w:sz w:val="24"/>
        </w:rPr>
        <w:t xml:space="preserve">Alumni, Bandung Soerjono, Soerkanto. 2005. </w:t>
      </w:r>
      <w:r>
        <w:rPr>
          <w:i/>
          <w:sz w:val="24"/>
        </w:rPr>
        <w:t>Metode Penelitian Hukum</w:t>
      </w:r>
      <w:r>
        <w:rPr>
          <w:sz w:val="24"/>
        </w:rPr>
        <w:t>. Rineka Cipta, Jakarta.</w:t>
      </w:r>
    </w:p>
    <w:sectPr w:rsidR="00F40AC9" w:rsidSect="00F40AC9">
      <w:pgSz w:w="11910" w:h="16840"/>
      <w:pgMar w:top="1460" w:right="1200" w:bottom="960" w:left="1160" w:header="0" w:footer="7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C39" w:rsidRDefault="00121C39" w:rsidP="00F40AC9">
      <w:r>
        <w:separator/>
      </w:r>
    </w:p>
  </w:endnote>
  <w:endnote w:type="continuationSeparator" w:id="1">
    <w:p w:rsidR="00121C39" w:rsidRDefault="00121C39" w:rsidP="00F40AC9">
      <w:r>
        <w:continuationSeparator/>
      </w:r>
    </w:p>
  </w:endnote>
</w:endnotes>
</file>

<file path=word/fontTable.xml><?xml version="1.0" encoding="utf-8"?>
<w:fonts xmlns:r="http://schemas.openxmlformats.org/officeDocument/2006/relationships" xmlns:w="http://schemas.openxmlformats.org/wordprocessingml/2006/main">
  <w:font w:name="Caladea">
    <w:altName w:val="Times New Roman"/>
    <w:charset w:val="00"/>
    <w:family w:val="roman"/>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AC9" w:rsidRDefault="00A71183">
    <w:pPr>
      <w:pStyle w:val="BodyText"/>
      <w:spacing w:line="14" w:lineRule="auto"/>
      <w:jc w:val="left"/>
      <w:rPr>
        <w:sz w:val="20"/>
      </w:rPr>
    </w:pPr>
    <w:r w:rsidRPr="00A71183">
      <w:pict>
        <v:shapetype id="_x0000_t202" coordsize="21600,21600" o:spt="202" path="m,l,21600r21600,l21600,xe">
          <v:stroke joinstyle="miter"/>
          <v:path gradientshapeok="t" o:connecttype="rect"/>
        </v:shapetype>
        <v:shape id="_x0000_s1025" type="#_x0000_t202" style="position:absolute;margin-left:291.4pt;margin-top:792.65pt;width:12.55pt;height:14.95pt;z-index:-251658752;mso-position-horizontal-relative:page;mso-position-vertical-relative:page" filled="f" stroked="f">
          <v:textbox inset="0,0,0,0">
            <w:txbxContent>
              <w:p w:rsidR="00F40AC9" w:rsidRDefault="00A71183">
                <w:pPr>
                  <w:spacing w:before="21"/>
                  <w:ind w:left="60"/>
                  <w:rPr>
                    <w:b/>
                  </w:rPr>
                </w:pPr>
                <w:r>
                  <w:fldChar w:fldCharType="begin"/>
                </w:r>
                <w:r w:rsidR="0015725D">
                  <w:rPr>
                    <w:b/>
                  </w:rPr>
                  <w:instrText xml:space="preserve"> PAGE </w:instrText>
                </w:r>
                <w:r>
                  <w:fldChar w:fldCharType="separate"/>
                </w:r>
                <w:r w:rsidR="00BF5ABF">
                  <w:rPr>
                    <w:b/>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C39" w:rsidRDefault="00121C39" w:rsidP="00F40AC9">
      <w:r>
        <w:separator/>
      </w:r>
    </w:p>
  </w:footnote>
  <w:footnote w:type="continuationSeparator" w:id="1">
    <w:p w:rsidR="00121C39" w:rsidRDefault="00121C39" w:rsidP="00F40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7DE2"/>
    <w:multiLevelType w:val="hybridMultilevel"/>
    <w:tmpl w:val="6E46CABE"/>
    <w:lvl w:ilvl="0" w:tplc="5CDCBCC6">
      <w:start w:val="1"/>
      <w:numFmt w:val="decimal"/>
      <w:lvlText w:val="%1."/>
      <w:lvlJc w:val="left"/>
      <w:pPr>
        <w:ind w:left="578" w:hanging="360"/>
      </w:pPr>
      <w:rPr>
        <w:rFonts w:ascii="Caladea" w:eastAsia="Caladea" w:hAnsi="Caladea" w:cs="Caladea" w:hint="default"/>
        <w:spacing w:val="-1"/>
        <w:w w:val="99"/>
        <w:sz w:val="24"/>
        <w:szCs w:val="24"/>
        <w:lang w:val="en-US" w:eastAsia="en-US" w:bidi="ar-SA"/>
      </w:rPr>
    </w:lvl>
    <w:lvl w:ilvl="1" w:tplc="9A0097DC">
      <w:numFmt w:val="bullet"/>
      <w:lvlText w:val="•"/>
      <w:lvlJc w:val="left"/>
      <w:pPr>
        <w:ind w:left="1476" w:hanging="360"/>
      </w:pPr>
      <w:rPr>
        <w:rFonts w:hint="default"/>
        <w:lang w:val="en-US" w:eastAsia="en-US" w:bidi="ar-SA"/>
      </w:rPr>
    </w:lvl>
    <w:lvl w:ilvl="2" w:tplc="5352E670">
      <w:numFmt w:val="bullet"/>
      <w:lvlText w:val="•"/>
      <w:lvlJc w:val="left"/>
      <w:pPr>
        <w:ind w:left="2373" w:hanging="360"/>
      </w:pPr>
      <w:rPr>
        <w:rFonts w:hint="default"/>
        <w:lang w:val="en-US" w:eastAsia="en-US" w:bidi="ar-SA"/>
      </w:rPr>
    </w:lvl>
    <w:lvl w:ilvl="3" w:tplc="1A2A01AE">
      <w:numFmt w:val="bullet"/>
      <w:lvlText w:val="•"/>
      <w:lvlJc w:val="left"/>
      <w:pPr>
        <w:ind w:left="3269" w:hanging="360"/>
      </w:pPr>
      <w:rPr>
        <w:rFonts w:hint="default"/>
        <w:lang w:val="en-US" w:eastAsia="en-US" w:bidi="ar-SA"/>
      </w:rPr>
    </w:lvl>
    <w:lvl w:ilvl="4" w:tplc="BDB6656E">
      <w:numFmt w:val="bullet"/>
      <w:lvlText w:val="•"/>
      <w:lvlJc w:val="left"/>
      <w:pPr>
        <w:ind w:left="4166" w:hanging="360"/>
      </w:pPr>
      <w:rPr>
        <w:rFonts w:hint="default"/>
        <w:lang w:val="en-US" w:eastAsia="en-US" w:bidi="ar-SA"/>
      </w:rPr>
    </w:lvl>
    <w:lvl w:ilvl="5" w:tplc="AAF88892">
      <w:numFmt w:val="bullet"/>
      <w:lvlText w:val="•"/>
      <w:lvlJc w:val="left"/>
      <w:pPr>
        <w:ind w:left="5063" w:hanging="360"/>
      </w:pPr>
      <w:rPr>
        <w:rFonts w:hint="default"/>
        <w:lang w:val="en-US" w:eastAsia="en-US" w:bidi="ar-SA"/>
      </w:rPr>
    </w:lvl>
    <w:lvl w:ilvl="6" w:tplc="CBC6E008">
      <w:numFmt w:val="bullet"/>
      <w:lvlText w:val="•"/>
      <w:lvlJc w:val="left"/>
      <w:pPr>
        <w:ind w:left="5959" w:hanging="360"/>
      </w:pPr>
      <w:rPr>
        <w:rFonts w:hint="default"/>
        <w:lang w:val="en-US" w:eastAsia="en-US" w:bidi="ar-SA"/>
      </w:rPr>
    </w:lvl>
    <w:lvl w:ilvl="7" w:tplc="34FC215C">
      <w:numFmt w:val="bullet"/>
      <w:lvlText w:val="•"/>
      <w:lvlJc w:val="left"/>
      <w:pPr>
        <w:ind w:left="6856" w:hanging="360"/>
      </w:pPr>
      <w:rPr>
        <w:rFonts w:hint="default"/>
        <w:lang w:val="en-US" w:eastAsia="en-US" w:bidi="ar-SA"/>
      </w:rPr>
    </w:lvl>
    <w:lvl w:ilvl="8" w:tplc="180A9758">
      <w:numFmt w:val="bullet"/>
      <w:lvlText w:val="•"/>
      <w:lvlJc w:val="left"/>
      <w:pPr>
        <w:ind w:left="7753" w:hanging="360"/>
      </w:pPr>
      <w:rPr>
        <w:rFonts w:hint="default"/>
        <w:lang w:val="en-US" w:eastAsia="en-US" w:bidi="ar-SA"/>
      </w:rPr>
    </w:lvl>
  </w:abstractNum>
  <w:abstractNum w:abstractNumId="1">
    <w:nsid w:val="16B14BD8"/>
    <w:multiLevelType w:val="hybridMultilevel"/>
    <w:tmpl w:val="C54ECE2A"/>
    <w:lvl w:ilvl="0" w:tplc="B3847954">
      <w:start w:val="1"/>
      <w:numFmt w:val="decimal"/>
      <w:lvlText w:val="%1."/>
      <w:lvlJc w:val="left"/>
      <w:pPr>
        <w:ind w:left="578" w:hanging="360"/>
      </w:pPr>
      <w:rPr>
        <w:rFonts w:ascii="Caladea" w:eastAsia="Caladea" w:hAnsi="Caladea" w:cs="Caladea" w:hint="default"/>
        <w:spacing w:val="-1"/>
        <w:w w:val="99"/>
        <w:sz w:val="24"/>
        <w:szCs w:val="24"/>
        <w:lang w:val="en-US" w:eastAsia="en-US" w:bidi="ar-SA"/>
      </w:rPr>
    </w:lvl>
    <w:lvl w:ilvl="1" w:tplc="10BEBFEA">
      <w:start w:val="1"/>
      <w:numFmt w:val="lowerLetter"/>
      <w:lvlText w:val="%2."/>
      <w:lvlJc w:val="left"/>
      <w:pPr>
        <w:ind w:left="938" w:hanging="360"/>
      </w:pPr>
      <w:rPr>
        <w:rFonts w:ascii="Caladea" w:eastAsia="Caladea" w:hAnsi="Caladea" w:cs="Caladea" w:hint="default"/>
        <w:w w:val="100"/>
        <w:sz w:val="24"/>
        <w:szCs w:val="24"/>
        <w:lang w:val="en-US" w:eastAsia="en-US" w:bidi="ar-SA"/>
      </w:rPr>
    </w:lvl>
    <w:lvl w:ilvl="2" w:tplc="EF227836">
      <w:numFmt w:val="bullet"/>
      <w:lvlText w:val="•"/>
      <w:lvlJc w:val="left"/>
      <w:pPr>
        <w:ind w:left="1896" w:hanging="360"/>
      </w:pPr>
      <w:rPr>
        <w:rFonts w:hint="default"/>
        <w:lang w:val="en-US" w:eastAsia="en-US" w:bidi="ar-SA"/>
      </w:rPr>
    </w:lvl>
    <w:lvl w:ilvl="3" w:tplc="28465D20">
      <w:numFmt w:val="bullet"/>
      <w:lvlText w:val="•"/>
      <w:lvlJc w:val="left"/>
      <w:pPr>
        <w:ind w:left="2852" w:hanging="360"/>
      </w:pPr>
      <w:rPr>
        <w:rFonts w:hint="default"/>
        <w:lang w:val="en-US" w:eastAsia="en-US" w:bidi="ar-SA"/>
      </w:rPr>
    </w:lvl>
    <w:lvl w:ilvl="4" w:tplc="1F58D39A">
      <w:numFmt w:val="bullet"/>
      <w:lvlText w:val="•"/>
      <w:lvlJc w:val="left"/>
      <w:pPr>
        <w:ind w:left="3808" w:hanging="360"/>
      </w:pPr>
      <w:rPr>
        <w:rFonts w:hint="default"/>
        <w:lang w:val="en-US" w:eastAsia="en-US" w:bidi="ar-SA"/>
      </w:rPr>
    </w:lvl>
    <w:lvl w:ilvl="5" w:tplc="4954860A">
      <w:numFmt w:val="bullet"/>
      <w:lvlText w:val="•"/>
      <w:lvlJc w:val="left"/>
      <w:pPr>
        <w:ind w:left="4765" w:hanging="360"/>
      </w:pPr>
      <w:rPr>
        <w:rFonts w:hint="default"/>
        <w:lang w:val="en-US" w:eastAsia="en-US" w:bidi="ar-SA"/>
      </w:rPr>
    </w:lvl>
    <w:lvl w:ilvl="6" w:tplc="BEC062A6">
      <w:numFmt w:val="bullet"/>
      <w:lvlText w:val="•"/>
      <w:lvlJc w:val="left"/>
      <w:pPr>
        <w:ind w:left="5721" w:hanging="360"/>
      </w:pPr>
      <w:rPr>
        <w:rFonts w:hint="default"/>
        <w:lang w:val="en-US" w:eastAsia="en-US" w:bidi="ar-SA"/>
      </w:rPr>
    </w:lvl>
    <w:lvl w:ilvl="7" w:tplc="F0D6C136">
      <w:numFmt w:val="bullet"/>
      <w:lvlText w:val="•"/>
      <w:lvlJc w:val="left"/>
      <w:pPr>
        <w:ind w:left="6677" w:hanging="360"/>
      </w:pPr>
      <w:rPr>
        <w:rFonts w:hint="default"/>
        <w:lang w:val="en-US" w:eastAsia="en-US" w:bidi="ar-SA"/>
      </w:rPr>
    </w:lvl>
    <w:lvl w:ilvl="8" w:tplc="EB84D194">
      <w:numFmt w:val="bullet"/>
      <w:lvlText w:val="•"/>
      <w:lvlJc w:val="left"/>
      <w:pPr>
        <w:ind w:left="7633" w:hanging="360"/>
      </w:pPr>
      <w:rPr>
        <w:rFonts w:hint="default"/>
        <w:lang w:val="en-US" w:eastAsia="en-US" w:bidi="ar-SA"/>
      </w:rPr>
    </w:lvl>
  </w:abstractNum>
  <w:abstractNum w:abstractNumId="2">
    <w:nsid w:val="298A4A6F"/>
    <w:multiLevelType w:val="hybridMultilevel"/>
    <w:tmpl w:val="6E948148"/>
    <w:lvl w:ilvl="0" w:tplc="11A43CBA">
      <w:start w:val="1"/>
      <w:numFmt w:val="lowerLetter"/>
      <w:lvlText w:val="%1)"/>
      <w:lvlJc w:val="left"/>
      <w:pPr>
        <w:ind w:left="578" w:hanging="360"/>
      </w:pPr>
      <w:rPr>
        <w:rFonts w:ascii="Caladea" w:eastAsia="Caladea" w:hAnsi="Caladea" w:cs="Caladea" w:hint="default"/>
        <w:w w:val="100"/>
        <w:sz w:val="24"/>
        <w:szCs w:val="24"/>
        <w:lang w:val="en-US" w:eastAsia="en-US" w:bidi="ar-SA"/>
      </w:rPr>
    </w:lvl>
    <w:lvl w:ilvl="1" w:tplc="07268F58">
      <w:numFmt w:val="bullet"/>
      <w:lvlText w:val="•"/>
      <w:lvlJc w:val="left"/>
      <w:pPr>
        <w:ind w:left="1476" w:hanging="360"/>
      </w:pPr>
      <w:rPr>
        <w:rFonts w:hint="default"/>
        <w:lang w:val="en-US" w:eastAsia="en-US" w:bidi="ar-SA"/>
      </w:rPr>
    </w:lvl>
    <w:lvl w:ilvl="2" w:tplc="C270D842">
      <w:numFmt w:val="bullet"/>
      <w:lvlText w:val="•"/>
      <w:lvlJc w:val="left"/>
      <w:pPr>
        <w:ind w:left="2373" w:hanging="360"/>
      </w:pPr>
      <w:rPr>
        <w:rFonts w:hint="default"/>
        <w:lang w:val="en-US" w:eastAsia="en-US" w:bidi="ar-SA"/>
      </w:rPr>
    </w:lvl>
    <w:lvl w:ilvl="3" w:tplc="15C0B8B2">
      <w:numFmt w:val="bullet"/>
      <w:lvlText w:val="•"/>
      <w:lvlJc w:val="left"/>
      <w:pPr>
        <w:ind w:left="3269" w:hanging="360"/>
      </w:pPr>
      <w:rPr>
        <w:rFonts w:hint="default"/>
        <w:lang w:val="en-US" w:eastAsia="en-US" w:bidi="ar-SA"/>
      </w:rPr>
    </w:lvl>
    <w:lvl w:ilvl="4" w:tplc="3292653A">
      <w:numFmt w:val="bullet"/>
      <w:lvlText w:val="•"/>
      <w:lvlJc w:val="left"/>
      <w:pPr>
        <w:ind w:left="4166" w:hanging="360"/>
      </w:pPr>
      <w:rPr>
        <w:rFonts w:hint="default"/>
        <w:lang w:val="en-US" w:eastAsia="en-US" w:bidi="ar-SA"/>
      </w:rPr>
    </w:lvl>
    <w:lvl w:ilvl="5" w:tplc="FAF66D1C">
      <w:numFmt w:val="bullet"/>
      <w:lvlText w:val="•"/>
      <w:lvlJc w:val="left"/>
      <w:pPr>
        <w:ind w:left="5063" w:hanging="360"/>
      </w:pPr>
      <w:rPr>
        <w:rFonts w:hint="default"/>
        <w:lang w:val="en-US" w:eastAsia="en-US" w:bidi="ar-SA"/>
      </w:rPr>
    </w:lvl>
    <w:lvl w:ilvl="6" w:tplc="38F228B6">
      <w:numFmt w:val="bullet"/>
      <w:lvlText w:val="•"/>
      <w:lvlJc w:val="left"/>
      <w:pPr>
        <w:ind w:left="5959" w:hanging="360"/>
      </w:pPr>
      <w:rPr>
        <w:rFonts w:hint="default"/>
        <w:lang w:val="en-US" w:eastAsia="en-US" w:bidi="ar-SA"/>
      </w:rPr>
    </w:lvl>
    <w:lvl w:ilvl="7" w:tplc="15189544">
      <w:numFmt w:val="bullet"/>
      <w:lvlText w:val="•"/>
      <w:lvlJc w:val="left"/>
      <w:pPr>
        <w:ind w:left="6856" w:hanging="360"/>
      </w:pPr>
      <w:rPr>
        <w:rFonts w:hint="default"/>
        <w:lang w:val="en-US" w:eastAsia="en-US" w:bidi="ar-SA"/>
      </w:rPr>
    </w:lvl>
    <w:lvl w:ilvl="8" w:tplc="F0F0F122">
      <w:numFmt w:val="bullet"/>
      <w:lvlText w:val="•"/>
      <w:lvlJc w:val="left"/>
      <w:pPr>
        <w:ind w:left="7753" w:hanging="360"/>
      </w:pPr>
      <w:rPr>
        <w:rFonts w:hint="default"/>
        <w:lang w:val="en-US" w:eastAsia="en-US" w:bidi="ar-SA"/>
      </w:rPr>
    </w:lvl>
  </w:abstractNum>
  <w:abstractNum w:abstractNumId="3">
    <w:nsid w:val="4A950D67"/>
    <w:multiLevelType w:val="hybridMultilevel"/>
    <w:tmpl w:val="A6C0BB2E"/>
    <w:lvl w:ilvl="0" w:tplc="8B1C53EA">
      <w:start w:val="1"/>
      <w:numFmt w:val="decimal"/>
      <w:lvlText w:val="%1."/>
      <w:lvlJc w:val="left"/>
      <w:pPr>
        <w:ind w:left="578" w:hanging="360"/>
      </w:pPr>
      <w:rPr>
        <w:rFonts w:ascii="Times New Roman" w:eastAsia="Times New Roman" w:hAnsi="Times New Roman" w:cs="Times New Roman" w:hint="default"/>
        <w:spacing w:val="-20"/>
        <w:w w:val="99"/>
        <w:sz w:val="24"/>
        <w:szCs w:val="24"/>
        <w:lang w:val="en-US" w:eastAsia="en-US" w:bidi="ar-SA"/>
      </w:rPr>
    </w:lvl>
    <w:lvl w:ilvl="1" w:tplc="99F243A0">
      <w:numFmt w:val="bullet"/>
      <w:lvlText w:val="•"/>
      <w:lvlJc w:val="left"/>
      <w:pPr>
        <w:ind w:left="1476" w:hanging="360"/>
      </w:pPr>
      <w:rPr>
        <w:rFonts w:hint="default"/>
        <w:lang w:val="en-US" w:eastAsia="en-US" w:bidi="ar-SA"/>
      </w:rPr>
    </w:lvl>
    <w:lvl w:ilvl="2" w:tplc="E6B412D8">
      <w:numFmt w:val="bullet"/>
      <w:lvlText w:val="•"/>
      <w:lvlJc w:val="left"/>
      <w:pPr>
        <w:ind w:left="2373" w:hanging="360"/>
      </w:pPr>
      <w:rPr>
        <w:rFonts w:hint="default"/>
        <w:lang w:val="en-US" w:eastAsia="en-US" w:bidi="ar-SA"/>
      </w:rPr>
    </w:lvl>
    <w:lvl w:ilvl="3" w:tplc="3F7CDE00">
      <w:numFmt w:val="bullet"/>
      <w:lvlText w:val="•"/>
      <w:lvlJc w:val="left"/>
      <w:pPr>
        <w:ind w:left="3269" w:hanging="360"/>
      </w:pPr>
      <w:rPr>
        <w:rFonts w:hint="default"/>
        <w:lang w:val="en-US" w:eastAsia="en-US" w:bidi="ar-SA"/>
      </w:rPr>
    </w:lvl>
    <w:lvl w:ilvl="4" w:tplc="5C127264">
      <w:numFmt w:val="bullet"/>
      <w:lvlText w:val="•"/>
      <w:lvlJc w:val="left"/>
      <w:pPr>
        <w:ind w:left="4166" w:hanging="360"/>
      </w:pPr>
      <w:rPr>
        <w:rFonts w:hint="default"/>
        <w:lang w:val="en-US" w:eastAsia="en-US" w:bidi="ar-SA"/>
      </w:rPr>
    </w:lvl>
    <w:lvl w:ilvl="5" w:tplc="CD92D680">
      <w:numFmt w:val="bullet"/>
      <w:lvlText w:val="•"/>
      <w:lvlJc w:val="left"/>
      <w:pPr>
        <w:ind w:left="5063" w:hanging="360"/>
      </w:pPr>
      <w:rPr>
        <w:rFonts w:hint="default"/>
        <w:lang w:val="en-US" w:eastAsia="en-US" w:bidi="ar-SA"/>
      </w:rPr>
    </w:lvl>
    <w:lvl w:ilvl="6" w:tplc="7A66238C">
      <w:numFmt w:val="bullet"/>
      <w:lvlText w:val="•"/>
      <w:lvlJc w:val="left"/>
      <w:pPr>
        <w:ind w:left="5959" w:hanging="360"/>
      </w:pPr>
      <w:rPr>
        <w:rFonts w:hint="default"/>
        <w:lang w:val="en-US" w:eastAsia="en-US" w:bidi="ar-SA"/>
      </w:rPr>
    </w:lvl>
    <w:lvl w:ilvl="7" w:tplc="069497CE">
      <w:numFmt w:val="bullet"/>
      <w:lvlText w:val="•"/>
      <w:lvlJc w:val="left"/>
      <w:pPr>
        <w:ind w:left="6856" w:hanging="360"/>
      </w:pPr>
      <w:rPr>
        <w:rFonts w:hint="default"/>
        <w:lang w:val="en-US" w:eastAsia="en-US" w:bidi="ar-SA"/>
      </w:rPr>
    </w:lvl>
    <w:lvl w:ilvl="8" w:tplc="5D8891AE">
      <w:numFmt w:val="bullet"/>
      <w:lvlText w:val="•"/>
      <w:lvlJc w:val="left"/>
      <w:pPr>
        <w:ind w:left="7753" w:hanging="360"/>
      </w:pPr>
      <w:rPr>
        <w:rFonts w:hint="default"/>
        <w:lang w:val="en-US" w:eastAsia="en-US" w:bidi="ar-SA"/>
      </w:rPr>
    </w:lvl>
  </w:abstractNum>
  <w:abstractNum w:abstractNumId="4">
    <w:nsid w:val="6AE528DB"/>
    <w:multiLevelType w:val="hybridMultilevel"/>
    <w:tmpl w:val="7B2E1FE8"/>
    <w:lvl w:ilvl="0" w:tplc="52EEF9F0">
      <w:start w:val="1"/>
      <w:numFmt w:val="decimal"/>
      <w:lvlText w:val="%1."/>
      <w:lvlJc w:val="left"/>
      <w:pPr>
        <w:ind w:left="645" w:hanging="428"/>
      </w:pPr>
      <w:rPr>
        <w:rFonts w:ascii="Caladea" w:eastAsia="Caladea" w:hAnsi="Caladea" w:cs="Caladea" w:hint="default"/>
        <w:b/>
        <w:bCs/>
        <w:spacing w:val="-1"/>
        <w:w w:val="100"/>
        <w:sz w:val="24"/>
        <w:szCs w:val="24"/>
        <w:lang w:val="en-US" w:eastAsia="en-US" w:bidi="ar-SA"/>
      </w:rPr>
    </w:lvl>
    <w:lvl w:ilvl="1" w:tplc="F176FF74">
      <w:numFmt w:val="none"/>
      <w:lvlText w:val=""/>
      <w:lvlJc w:val="left"/>
      <w:pPr>
        <w:tabs>
          <w:tab w:val="num" w:pos="360"/>
        </w:tabs>
      </w:pPr>
    </w:lvl>
    <w:lvl w:ilvl="2" w:tplc="AA004C36">
      <w:numFmt w:val="bullet"/>
      <w:lvlText w:val="•"/>
      <w:lvlJc w:val="left"/>
      <w:pPr>
        <w:ind w:left="1629" w:hanging="360"/>
      </w:pPr>
      <w:rPr>
        <w:rFonts w:hint="default"/>
        <w:lang w:val="en-US" w:eastAsia="en-US" w:bidi="ar-SA"/>
      </w:rPr>
    </w:lvl>
    <w:lvl w:ilvl="3" w:tplc="12CC6ED6">
      <w:numFmt w:val="bullet"/>
      <w:lvlText w:val="•"/>
      <w:lvlJc w:val="left"/>
      <w:pPr>
        <w:ind w:left="2619" w:hanging="360"/>
      </w:pPr>
      <w:rPr>
        <w:rFonts w:hint="default"/>
        <w:lang w:val="en-US" w:eastAsia="en-US" w:bidi="ar-SA"/>
      </w:rPr>
    </w:lvl>
    <w:lvl w:ilvl="4" w:tplc="8F320614">
      <w:numFmt w:val="bullet"/>
      <w:lvlText w:val="•"/>
      <w:lvlJc w:val="left"/>
      <w:pPr>
        <w:ind w:left="3608" w:hanging="360"/>
      </w:pPr>
      <w:rPr>
        <w:rFonts w:hint="default"/>
        <w:lang w:val="en-US" w:eastAsia="en-US" w:bidi="ar-SA"/>
      </w:rPr>
    </w:lvl>
    <w:lvl w:ilvl="5" w:tplc="A1F2328A">
      <w:numFmt w:val="bullet"/>
      <w:lvlText w:val="•"/>
      <w:lvlJc w:val="left"/>
      <w:pPr>
        <w:ind w:left="4598" w:hanging="360"/>
      </w:pPr>
      <w:rPr>
        <w:rFonts w:hint="default"/>
        <w:lang w:val="en-US" w:eastAsia="en-US" w:bidi="ar-SA"/>
      </w:rPr>
    </w:lvl>
    <w:lvl w:ilvl="6" w:tplc="554CB3EC">
      <w:numFmt w:val="bullet"/>
      <w:lvlText w:val="•"/>
      <w:lvlJc w:val="left"/>
      <w:pPr>
        <w:ind w:left="5588" w:hanging="360"/>
      </w:pPr>
      <w:rPr>
        <w:rFonts w:hint="default"/>
        <w:lang w:val="en-US" w:eastAsia="en-US" w:bidi="ar-SA"/>
      </w:rPr>
    </w:lvl>
    <w:lvl w:ilvl="7" w:tplc="E1982834">
      <w:numFmt w:val="bullet"/>
      <w:lvlText w:val="•"/>
      <w:lvlJc w:val="left"/>
      <w:pPr>
        <w:ind w:left="6577" w:hanging="360"/>
      </w:pPr>
      <w:rPr>
        <w:rFonts w:hint="default"/>
        <w:lang w:val="en-US" w:eastAsia="en-US" w:bidi="ar-SA"/>
      </w:rPr>
    </w:lvl>
    <w:lvl w:ilvl="8" w:tplc="C67657CC">
      <w:numFmt w:val="bullet"/>
      <w:lvlText w:val="•"/>
      <w:lvlJc w:val="left"/>
      <w:pPr>
        <w:ind w:left="7567" w:hanging="360"/>
      </w:pPr>
      <w:rPr>
        <w:rFonts w:hint="default"/>
        <w:lang w:val="en-US" w:eastAsia="en-US" w:bidi="ar-SA"/>
      </w:rPr>
    </w:lvl>
  </w:abstractNum>
  <w:abstractNum w:abstractNumId="5">
    <w:nsid w:val="6C6242D4"/>
    <w:multiLevelType w:val="hybridMultilevel"/>
    <w:tmpl w:val="B0DA4D16"/>
    <w:lvl w:ilvl="0" w:tplc="9BCE9A1C">
      <w:start w:val="1"/>
      <w:numFmt w:val="decimal"/>
      <w:lvlText w:val="%1."/>
      <w:lvlJc w:val="left"/>
      <w:pPr>
        <w:ind w:left="720" w:hanging="360"/>
      </w:pPr>
      <w:rPr>
        <w:rFonts w:hint="default"/>
        <w:sz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F40AC9"/>
    <w:rsid w:val="000874D1"/>
    <w:rsid w:val="00121C39"/>
    <w:rsid w:val="0015725D"/>
    <w:rsid w:val="0022158E"/>
    <w:rsid w:val="002216FC"/>
    <w:rsid w:val="00515C11"/>
    <w:rsid w:val="0053278E"/>
    <w:rsid w:val="006031AA"/>
    <w:rsid w:val="00665402"/>
    <w:rsid w:val="007D560A"/>
    <w:rsid w:val="00A71183"/>
    <w:rsid w:val="00B03C76"/>
    <w:rsid w:val="00B761DA"/>
    <w:rsid w:val="00BF5ABF"/>
    <w:rsid w:val="00CD78B8"/>
    <w:rsid w:val="00CF4448"/>
    <w:rsid w:val="00D739DE"/>
    <w:rsid w:val="00EC2C9C"/>
    <w:rsid w:val="00ED44C7"/>
    <w:rsid w:val="00F40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0AC9"/>
    <w:rPr>
      <w:rFonts w:ascii="Caladea" w:eastAsia="Caladea" w:hAnsi="Caladea" w:cs="Caladea"/>
    </w:rPr>
  </w:style>
  <w:style w:type="paragraph" w:styleId="Heading1">
    <w:name w:val="heading 1"/>
    <w:basedOn w:val="Normal"/>
    <w:uiPriority w:val="1"/>
    <w:qFormat/>
    <w:rsid w:val="00F40AC9"/>
    <w:pPr>
      <w:ind w:left="463" w:right="424"/>
      <w:jc w:val="center"/>
      <w:outlineLvl w:val="0"/>
    </w:pPr>
    <w:rPr>
      <w:b/>
      <w:bCs/>
      <w:sz w:val="28"/>
      <w:szCs w:val="28"/>
    </w:rPr>
  </w:style>
  <w:style w:type="paragraph" w:styleId="Heading2">
    <w:name w:val="heading 2"/>
    <w:basedOn w:val="Normal"/>
    <w:uiPriority w:val="1"/>
    <w:qFormat/>
    <w:rsid w:val="00F40AC9"/>
    <w:pPr>
      <w:ind w:left="645" w:hanging="4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0AC9"/>
    <w:pPr>
      <w:jc w:val="both"/>
    </w:pPr>
    <w:rPr>
      <w:sz w:val="24"/>
      <w:szCs w:val="24"/>
    </w:rPr>
  </w:style>
  <w:style w:type="paragraph" w:styleId="ListParagraph">
    <w:name w:val="List Paragraph"/>
    <w:basedOn w:val="Normal"/>
    <w:uiPriority w:val="1"/>
    <w:qFormat/>
    <w:rsid w:val="00F40AC9"/>
    <w:pPr>
      <w:ind w:left="578" w:hanging="360"/>
      <w:jc w:val="both"/>
    </w:pPr>
  </w:style>
  <w:style w:type="paragraph" w:customStyle="1" w:styleId="TableParagraph">
    <w:name w:val="Table Paragraph"/>
    <w:basedOn w:val="Normal"/>
    <w:uiPriority w:val="1"/>
    <w:qFormat/>
    <w:rsid w:val="00F40AC9"/>
  </w:style>
  <w:style w:type="character" w:styleId="Hyperlink">
    <w:name w:val="Hyperlink"/>
    <w:basedOn w:val="DefaultParagraphFont"/>
    <w:uiPriority w:val="99"/>
    <w:unhideWhenUsed/>
    <w:rsid w:val="00B761DA"/>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4078</Words>
  <Characters>23251</Characters>
  <Application>Microsoft Office Word</Application>
  <DocSecurity>0</DocSecurity>
  <Lines>193</Lines>
  <Paragraphs>54</Paragraphs>
  <ScaleCrop>false</ScaleCrop>
  <Company/>
  <LinksUpToDate>false</LinksUpToDate>
  <CharactersWithSpaces>27275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oheo kharis</dc:creator>
  <cp:lastModifiedBy>DPD PAN</cp:lastModifiedBy>
  <cp:revision>17</cp:revision>
  <dcterms:created xsi:type="dcterms:W3CDTF">2021-02-04T07:28:00Z</dcterms:created>
  <dcterms:modified xsi:type="dcterms:W3CDTF">2021-02-04T07:39:00Z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2010</vt:lpwstr>
  </property>
  <property fmtid="{D5CDD505-2E9C-101B-9397-08002B2CF9AE}" pid="4" name="LastSaved">
    <vt:filetime>2021-02-04T00:00:00Z</vt:filetime>
  </property>
</Properties>
</file>